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D31" w:rsidRPr="003A69AF" w:rsidRDefault="00354EA7" w:rsidP="003A69AF">
      <w:pPr>
        <w:pBdr>
          <w:bottom w:val="single" w:sz="4" w:space="1" w:color="auto"/>
        </w:pBdr>
        <w:spacing w:before="0" w:after="0" w:line="240" w:lineRule="auto"/>
        <w:rPr>
          <w:color w:val="00B0F0"/>
          <w:sz w:val="32"/>
          <w:szCs w:val="32"/>
        </w:rPr>
      </w:pPr>
      <w:r w:rsidRPr="003A69AF">
        <w:rPr>
          <w:color w:val="00B0F0"/>
          <w:sz w:val="32"/>
          <w:szCs w:val="32"/>
        </w:rPr>
        <w:t>Family and Children’s Services of the Waterloo Region</w:t>
      </w:r>
    </w:p>
    <w:p w:rsidR="003A69AF" w:rsidRPr="003A69AF" w:rsidRDefault="003A69AF" w:rsidP="003A69AF">
      <w:pPr>
        <w:pBdr>
          <w:bottom w:val="single" w:sz="4" w:space="1" w:color="auto"/>
        </w:pBdr>
        <w:spacing w:before="0" w:after="0" w:line="240" w:lineRule="auto"/>
        <w:rPr>
          <w:color w:val="00B0F0"/>
          <w:sz w:val="32"/>
          <w:szCs w:val="32"/>
        </w:rPr>
      </w:pPr>
      <w:r w:rsidRPr="003A69AF">
        <w:rPr>
          <w:color w:val="00B0F0"/>
          <w:sz w:val="32"/>
          <w:szCs w:val="32"/>
        </w:rPr>
        <w:t>Business Plan</w:t>
      </w:r>
      <w:r>
        <w:rPr>
          <w:color w:val="00B0F0"/>
          <w:sz w:val="32"/>
          <w:szCs w:val="32"/>
        </w:rPr>
        <w:t>:</w:t>
      </w:r>
      <w:r w:rsidRPr="003A69AF">
        <w:rPr>
          <w:color w:val="00B0F0"/>
          <w:sz w:val="32"/>
          <w:szCs w:val="32"/>
        </w:rPr>
        <w:t xml:space="preserve"> </w:t>
      </w:r>
      <w:r w:rsidR="00C05EF7">
        <w:rPr>
          <w:color w:val="00B0F0"/>
          <w:sz w:val="32"/>
          <w:szCs w:val="32"/>
        </w:rPr>
        <w:t>2016/2017</w:t>
      </w:r>
    </w:p>
    <w:p w:rsidR="00B669C5" w:rsidRPr="00354EA7" w:rsidRDefault="007960D5" w:rsidP="00D5508C">
      <w:pPr>
        <w:pStyle w:val="Heading1"/>
        <w:rPr>
          <w:color w:val="00B0F0"/>
        </w:rPr>
      </w:pPr>
      <w:r w:rsidRPr="00354EA7">
        <w:rPr>
          <w:color w:val="00B0F0"/>
        </w:rPr>
        <w:t>Introduction</w:t>
      </w:r>
    </w:p>
    <w:p w:rsidR="00B669C5" w:rsidRDefault="00B669C5" w:rsidP="00B669C5">
      <w:r>
        <w:t xml:space="preserve">This document represents the </w:t>
      </w:r>
      <w:r w:rsidR="00C05EF7">
        <w:t xml:space="preserve">2016/2017 </w:t>
      </w:r>
      <w:r w:rsidR="00C841FD">
        <w:t>Business P</w:t>
      </w:r>
      <w:r>
        <w:t xml:space="preserve">lan for the </w:t>
      </w:r>
      <w:r w:rsidR="00354EA7">
        <w:t>Family and Children’s Services of the Waterloo Region</w:t>
      </w:r>
      <w:r>
        <w:t>.  It highlights the mandat</w:t>
      </w:r>
      <w:r w:rsidR="00D37323">
        <w:t>e, strategic priorities, key</w:t>
      </w:r>
      <w:r>
        <w:t xml:space="preserve"> activities </w:t>
      </w:r>
      <w:r w:rsidR="00D37323">
        <w:t xml:space="preserve">and performance indicators </w:t>
      </w:r>
      <w:r>
        <w:t xml:space="preserve">of the organization for the upcoming year.  </w:t>
      </w:r>
      <w:r w:rsidR="007960D5">
        <w:t>The plan also</w:t>
      </w:r>
      <w:r>
        <w:t xml:space="preserve"> demonstrates how the </w:t>
      </w:r>
      <w:r w:rsidR="00354EA7">
        <w:t>Family and Children’s Services</w:t>
      </w:r>
      <w:r>
        <w:t xml:space="preserve"> continues to improve </w:t>
      </w:r>
      <w:r w:rsidR="007960D5">
        <w:t>our child protection services in</w:t>
      </w:r>
      <w:r>
        <w:t xml:space="preserve"> the </w:t>
      </w:r>
      <w:r w:rsidR="00354EA7">
        <w:t>Region of Waterloo</w:t>
      </w:r>
      <w:r>
        <w:t>.</w:t>
      </w:r>
    </w:p>
    <w:p w:rsidR="009D6B80" w:rsidRPr="00354EA7" w:rsidRDefault="00EB53C0" w:rsidP="00D5508C">
      <w:pPr>
        <w:pStyle w:val="Heading1"/>
        <w:rPr>
          <w:color w:val="00B0F0"/>
        </w:rPr>
      </w:pPr>
      <w:r w:rsidRPr="00354EA7">
        <w:rPr>
          <w:color w:val="00B0F0"/>
        </w:rPr>
        <w:t xml:space="preserve">Mandate </w:t>
      </w:r>
    </w:p>
    <w:p w:rsidR="00C841FD" w:rsidRPr="000B3C72" w:rsidRDefault="001A4FC7" w:rsidP="00C841FD">
      <w:r>
        <w:t>Children’s Aid Societies are independently governed agencies that are responsible for providing mandatory and critical services</w:t>
      </w:r>
      <w:r w:rsidR="00F71821">
        <w:t>,</w:t>
      </w:r>
      <w:r w:rsidR="00C841FD" w:rsidRPr="000B3C72">
        <w:t xml:space="preserve"> which are a safety net for the most vulnerable members of our society – infants, children and youth who are at risk of or are experiencing physical, sexual and/or emotional abuse, neglect or abandonment.  CASs are mandated to intervene if </w:t>
      </w:r>
      <w:r w:rsidR="00C841FD">
        <w:t>a</w:t>
      </w:r>
      <w:r w:rsidR="00C841FD" w:rsidRPr="000B3C72">
        <w:t xml:space="preserve"> caregiver cannot adequately care for or provide for </w:t>
      </w:r>
      <w:r w:rsidR="00C841FD">
        <w:t>a</w:t>
      </w:r>
      <w:r w:rsidR="00C841FD" w:rsidRPr="000B3C72">
        <w:t xml:space="preserve"> child.   </w:t>
      </w:r>
    </w:p>
    <w:p w:rsidR="001A4FC7" w:rsidRDefault="000D78DD" w:rsidP="00AF79DD">
      <w:r>
        <w:t>Children’s Aid Societies have been providing these services to communities in Ontario for over 100 years.</w:t>
      </w:r>
    </w:p>
    <w:p w:rsidR="00AF79DD" w:rsidRPr="000B3C72" w:rsidRDefault="00AF79DD" w:rsidP="00AF79DD">
      <w:r w:rsidRPr="000B3C72">
        <w:lastRenderedPageBreak/>
        <w:t xml:space="preserve">They are legislated to perform certain functions under the provisions of Section 15 of the </w:t>
      </w:r>
      <w:r w:rsidRPr="000B3C72">
        <w:rPr>
          <w:i/>
          <w:iCs/>
        </w:rPr>
        <w:t>Child and Family Services Act (CFSA)</w:t>
      </w:r>
      <w:r w:rsidRPr="000B3C72">
        <w:rPr>
          <w:i/>
          <w:iCs/>
          <w:vertAlign w:val="superscript"/>
        </w:rPr>
        <w:footnoteReference w:id="2"/>
      </w:r>
      <w:r w:rsidRPr="000B3C72">
        <w:rPr>
          <w:i/>
          <w:iCs/>
        </w:rPr>
        <w:t xml:space="preserve">.  </w:t>
      </w:r>
      <w:r w:rsidRPr="000B3C72">
        <w:t xml:space="preserve">The mandate of CASs, as described in this section of the </w:t>
      </w:r>
      <w:r w:rsidRPr="000B3C72">
        <w:rPr>
          <w:i/>
          <w:iCs/>
        </w:rPr>
        <w:t xml:space="preserve">CFSA, </w:t>
      </w:r>
      <w:r w:rsidRPr="000B3C72">
        <w:t xml:space="preserve">includes the following functions: </w:t>
      </w:r>
    </w:p>
    <w:p w:rsidR="008238FD" w:rsidRPr="008238FD" w:rsidRDefault="008238FD" w:rsidP="0000296D">
      <w:pPr>
        <w:pStyle w:val="ListParagraph"/>
        <w:numPr>
          <w:ilvl w:val="0"/>
          <w:numId w:val="4"/>
        </w:numPr>
      </w:pPr>
      <w:r w:rsidRPr="008238FD">
        <w:t>Investigate allegations or evidence that children who are under the age of sixteen years or are in the society’s care or under its supervision may be in need of protection;</w:t>
      </w:r>
    </w:p>
    <w:p w:rsidR="008238FD" w:rsidRPr="008238FD" w:rsidRDefault="008238FD" w:rsidP="0000296D">
      <w:pPr>
        <w:pStyle w:val="ListParagraph"/>
        <w:numPr>
          <w:ilvl w:val="0"/>
          <w:numId w:val="4"/>
        </w:numPr>
      </w:pPr>
      <w:r w:rsidRPr="008238FD">
        <w:t>Protect, where necessary, children who are under the age of sixteen years or are in the society’s care or under its supervision;</w:t>
      </w:r>
    </w:p>
    <w:p w:rsidR="008238FD" w:rsidRPr="008238FD" w:rsidRDefault="008238FD" w:rsidP="0000296D">
      <w:pPr>
        <w:pStyle w:val="ListParagraph"/>
        <w:numPr>
          <w:ilvl w:val="0"/>
          <w:numId w:val="4"/>
        </w:numPr>
      </w:pPr>
      <w:r w:rsidRPr="008238FD">
        <w:t>Provide guidance, counselling and other services to families for protecting children or for the prevention of circumstances requiring the protection of children;</w:t>
      </w:r>
    </w:p>
    <w:p w:rsidR="008238FD" w:rsidRPr="008238FD" w:rsidRDefault="008238FD" w:rsidP="0000296D">
      <w:pPr>
        <w:pStyle w:val="ListParagraph"/>
        <w:numPr>
          <w:ilvl w:val="0"/>
          <w:numId w:val="4"/>
        </w:numPr>
      </w:pPr>
      <w:r w:rsidRPr="008238FD">
        <w:t>Provide care for children assigned or committed to its care under this Act;</w:t>
      </w:r>
    </w:p>
    <w:p w:rsidR="008238FD" w:rsidRPr="008238FD" w:rsidRDefault="008238FD" w:rsidP="0000296D">
      <w:pPr>
        <w:pStyle w:val="ListParagraph"/>
        <w:numPr>
          <w:ilvl w:val="0"/>
          <w:numId w:val="4"/>
        </w:numPr>
      </w:pPr>
      <w:r w:rsidRPr="008238FD">
        <w:t>Supervise children assigned to its supervision under this Act;</w:t>
      </w:r>
    </w:p>
    <w:p w:rsidR="008238FD" w:rsidRPr="008238FD" w:rsidRDefault="008238FD" w:rsidP="0000296D">
      <w:pPr>
        <w:pStyle w:val="ListParagraph"/>
        <w:numPr>
          <w:ilvl w:val="0"/>
          <w:numId w:val="4"/>
        </w:numPr>
      </w:pPr>
      <w:r w:rsidRPr="008238FD">
        <w:t>Place children for adoption under Part VII; and,</w:t>
      </w:r>
    </w:p>
    <w:p w:rsidR="008238FD" w:rsidRPr="008238FD" w:rsidRDefault="008238FD" w:rsidP="0000296D">
      <w:pPr>
        <w:pStyle w:val="ListParagraph"/>
        <w:numPr>
          <w:ilvl w:val="0"/>
          <w:numId w:val="4"/>
        </w:numPr>
      </w:pPr>
      <w:r w:rsidRPr="008238FD">
        <w:t>Perform any other duties given to it by this or any other Act.</w:t>
      </w:r>
    </w:p>
    <w:p w:rsidR="00AF79DD" w:rsidRPr="000B3C72" w:rsidRDefault="00AF79DD" w:rsidP="00AF79DD">
      <w:r w:rsidRPr="000B3C72">
        <w:t xml:space="preserve">This legislation and the supporting regulations, directives and standards prescribe specific and detailed requirements for what services CASs must </w:t>
      </w:r>
      <w:r w:rsidRPr="000B3C72">
        <w:lastRenderedPageBreak/>
        <w:t>provide</w:t>
      </w:r>
      <w:r>
        <w:t>,</w:t>
      </w:r>
      <w:r w:rsidRPr="000B3C72">
        <w:t xml:space="preserve"> how they must provide these services, including services to Aboriginal children and families and French language services, as well as the timelines in which </w:t>
      </w:r>
      <w:r>
        <w:t xml:space="preserve">these </w:t>
      </w:r>
      <w:r w:rsidRPr="000B3C72">
        <w:t xml:space="preserve">mandatory services must be provided. </w:t>
      </w:r>
    </w:p>
    <w:p w:rsidR="00AF79DD" w:rsidRPr="000B3C72" w:rsidRDefault="00AF79DD" w:rsidP="00AF79DD">
      <w:r w:rsidRPr="000B3C72">
        <w:t xml:space="preserve">Children’s Aid Societies protect and safeguard most children while they remain with their families in the community.  This family-based support takes the form of intensive assessments and service plans, contacts with numerous other professionals and service providers, </w:t>
      </w:r>
      <w:r>
        <w:t>as well as</w:t>
      </w:r>
      <w:r w:rsidRPr="000B3C72">
        <w:t xml:space="preserve"> ongoing supervision of the child while he/she remains in the family home.  These are complex cases in which child protection concerns have been verified and there are risks of, or actual, abuse and neglect</w:t>
      </w:r>
      <w:r>
        <w:t xml:space="preserve">. As such, the work must be performed by skilled, qualified child welfare staff. </w:t>
      </w:r>
      <w:r w:rsidRPr="000B3C72">
        <w:t xml:space="preserve">Serving these children in the context of the home – when it is safe to do so – is consistent with the legislative and regulatory mandate and with the policy direction of government.  </w:t>
      </w:r>
    </w:p>
    <w:p w:rsidR="000D4E27" w:rsidRDefault="000D4E27">
      <w:pPr>
        <w:spacing w:before="0" w:after="0" w:line="240" w:lineRule="auto"/>
        <w:rPr>
          <w:rFonts w:asciiTheme="majorHAnsi" w:eastAsiaTheme="majorEastAsia" w:hAnsiTheme="majorHAnsi" w:cstheme="majorBidi"/>
          <w:color w:val="00B0F0"/>
          <w:sz w:val="32"/>
          <w:szCs w:val="32"/>
        </w:rPr>
      </w:pPr>
      <w:r>
        <w:rPr>
          <w:color w:val="00B0F0"/>
        </w:rPr>
        <w:br w:type="page"/>
      </w:r>
    </w:p>
    <w:p w:rsidR="006661EB" w:rsidRPr="00354EA7" w:rsidRDefault="007960D5" w:rsidP="006661EB">
      <w:pPr>
        <w:pStyle w:val="Heading1"/>
        <w:rPr>
          <w:color w:val="00B0F0"/>
        </w:rPr>
      </w:pPr>
      <w:r w:rsidRPr="00354EA7">
        <w:rPr>
          <w:color w:val="00B0F0"/>
        </w:rPr>
        <w:lastRenderedPageBreak/>
        <w:t xml:space="preserve">Vision, Values and </w:t>
      </w:r>
      <w:r w:rsidR="006661EB" w:rsidRPr="00354EA7">
        <w:rPr>
          <w:color w:val="00B0F0"/>
        </w:rPr>
        <w:t>Strategic Direction</w:t>
      </w:r>
    </w:p>
    <w:p w:rsidR="00563468" w:rsidRDefault="000D4E27">
      <w:pPr>
        <w:spacing w:before="0" w:after="0" w:line="240" w:lineRule="auto"/>
      </w:pPr>
      <w:r>
        <w:rPr>
          <w:noProof/>
        </w:rPr>
        <w:lastRenderedPageBreak/>
        <w:drawing>
          <wp:inline distT="0" distB="0" distL="0" distR="0" wp14:anchorId="0C2393FC" wp14:editId="225C8B3B">
            <wp:extent cx="5906770" cy="7397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6770" cy="7397224"/>
                    </a:xfrm>
                    <a:prstGeom prst="rect">
                      <a:avLst/>
                    </a:prstGeom>
                  </pic:spPr>
                </pic:pic>
              </a:graphicData>
            </a:graphic>
          </wp:inline>
        </w:drawing>
      </w:r>
      <w:r w:rsidR="00563468">
        <w:br w:type="page"/>
      </w:r>
    </w:p>
    <w:p w:rsidR="00B42213" w:rsidRPr="00133983" w:rsidRDefault="009B6060" w:rsidP="00563468">
      <w:pPr>
        <w:pStyle w:val="Heading1"/>
        <w:rPr>
          <w:color w:val="00B0F0"/>
        </w:rPr>
      </w:pPr>
      <w:r>
        <w:rPr>
          <w:color w:val="00B0F0"/>
        </w:rPr>
        <w:lastRenderedPageBreak/>
        <w:t>Key Activities S</w:t>
      </w:r>
      <w:r w:rsidR="00563468" w:rsidRPr="00133983">
        <w:rPr>
          <w:color w:val="00B0F0"/>
        </w:rPr>
        <w:t>upporting Strategic Direction</w:t>
      </w:r>
      <w:r w:rsidR="00344962" w:rsidRPr="00133983">
        <w:rPr>
          <w:color w:val="00B0F0"/>
        </w:rPr>
        <w:t>s</w:t>
      </w:r>
    </w:p>
    <w:p w:rsidR="000450AA" w:rsidRDefault="008238FD" w:rsidP="000450AA">
      <w:pPr>
        <w:rPr>
          <w:b/>
          <w:i/>
        </w:rPr>
      </w:pPr>
      <w:r>
        <w:rPr>
          <w:b/>
          <w:u w:val="single"/>
        </w:rPr>
        <w:t>Strategic Direction:</w:t>
      </w:r>
      <w:r>
        <w:rPr>
          <w:b/>
        </w:rPr>
        <w:t xml:space="preserve">  </w:t>
      </w:r>
      <w:r w:rsidR="00133983" w:rsidRPr="00133983">
        <w:rPr>
          <w:b/>
        </w:rPr>
        <w:t>Strong families caring safely for children and youth</w:t>
      </w:r>
    </w:p>
    <w:tbl>
      <w:tblPr>
        <w:tblStyle w:val="TableGrid"/>
        <w:tblW w:w="0" w:type="auto"/>
        <w:tblLook w:val="04A0" w:firstRow="1" w:lastRow="0" w:firstColumn="1" w:lastColumn="0" w:noHBand="0" w:noVBand="1"/>
      </w:tblPr>
      <w:tblGrid>
        <w:gridCol w:w="4646"/>
        <w:gridCol w:w="4646"/>
      </w:tblGrid>
      <w:tr w:rsidR="000450AA" w:rsidTr="008238FD">
        <w:tc>
          <w:tcPr>
            <w:tcW w:w="4646" w:type="dxa"/>
            <w:shd w:val="clear" w:color="auto" w:fill="D9D9D9" w:themeFill="background2" w:themeFillShade="D9"/>
          </w:tcPr>
          <w:p w:rsidR="000450AA" w:rsidRPr="008238FD" w:rsidRDefault="00540FA6" w:rsidP="008238FD">
            <w:pPr>
              <w:jc w:val="center"/>
              <w:rPr>
                <w:b/>
              </w:rPr>
            </w:pPr>
            <w:r>
              <w:rPr>
                <w:b/>
              </w:rPr>
              <w:t>Goal</w:t>
            </w:r>
          </w:p>
        </w:tc>
        <w:tc>
          <w:tcPr>
            <w:tcW w:w="4646" w:type="dxa"/>
            <w:shd w:val="clear" w:color="auto" w:fill="D9D9D9" w:themeFill="background2" w:themeFillShade="D9"/>
          </w:tcPr>
          <w:p w:rsidR="000450AA" w:rsidRPr="008238FD" w:rsidRDefault="00540FA6" w:rsidP="008238FD">
            <w:pPr>
              <w:jc w:val="center"/>
              <w:rPr>
                <w:b/>
              </w:rPr>
            </w:pPr>
            <w:r>
              <w:rPr>
                <w:b/>
              </w:rPr>
              <w:t>Key Activities</w:t>
            </w:r>
          </w:p>
        </w:tc>
      </w:tr>
      <w:tr w:rsidR="000450AA" w:rsidTr="004A360E">
        <w:tc>
          <w:tcPr>
            <w:tcW w:w="4646" w:type="dxa"/>
          </w:tcPr>
          <w:p w:rsidR="000450AA" w:rsidRPr="004A360E" w:rsidRDefault="00133983" w:rsidP="003A69AF">
            <w:pPr>
              <w:pStyle w:val="ListParagraph"/>
              <w:numPr>
                <w:ilvl w:val="0"/>
                <w:numId w:val="6"/>
              </w:numPr>
              <w:spacing w:before="0" w:line="240" w:lineRule="auto"/>
            </w:pPr>
            <w:r w:rsidRPr="004A360E">
              <w:t>Prevent the occurrence or reoccurrence of harm to children and youth by planning together with families and their networks of support at the earliest possible stage</w:t>
            </w:r>
          </w:p>
        </w:tc>
        <w:tc>
          <w:tcPr>
            <w:tcW w:w="4646" w:type="dxa"/>
          </w:tcPr>
          <w:p w:rsidR="00631A9B" w:rsidRDefault="00631A9B" w:rsidP="00631A9B">
            <w:pPr>
              <w:pStyle w:val="ListParagraph"/>
              <w:numPr>
                <w:ilvl w:val="0"/>
                <w:numId w:val="5"/>
              </w:numPr>
              <w:spacing w:line="240" w:lineRule="auto"/>
              <w:ind w:left="360"/>
            </w:pPr>
            <w:r>
              <w:t>To ensure the community is aware of the Duty to Report and the role and services of a Children’s Aid Society.</w:t>
            </w:r>
          </w:p>
          <w:p w:rsidR="00631A9B" w:rsidRDefault="00631A9B" w:rsidP="00631A9B">
            <w:pPr>
              <w:pStyle w:val="ListParagraph"/>
              <w:spacing w:line="240" w:lineRule="auto"/>
              <w:ind w:left="360"/>
            </w:pPr>
          </w:p>
          <w:p w:rsidR="00E7126B" w:rsidRDefault="00E7126B" w:rsidP="0000296D">
            <w:pPr>
              <w:pStyle w:val="ListParagraph"/>
              <w:numPr>
                <w:ilvl w:val="0"/>
                <w:numId w:val="5"/>
              </w:numPr>
              <w:spacing w:line="240" w:lineRule="auto"/>
              <w:ind w:left="360"/>
            </w:pPr>
            <w:r>
              <w:t>To ensure the agency has adequate child protection resources to respond early to child protection concerns.</w:t>
            </w:r>
          </w:p>
          <w:p w:rsidR="00631A9B" w:rsidRDefault="00631A9B" w:rsidP="00631A9B">
            <w:pPr>
              <w:pStyle w:val="ListParagraph"/>
              <w:spacing w:line="240" w:lineRule="auto"/>
              <w:ind w:left="360"/>
            </w:pPr>
          </w:p>
          <w:p w:rsidR="002458EE" w:rsidRPr="004A360E" w:rsidRDefault="00E7126B" w:rsidP="00631A9B">
            <w:pPr>
              <w:pStyle w:val="ListParagraph"/>
              <w:numPr>
                <w:ilvl w:val="0"/>
                <w:numId w:val="5"/>
              </w:numPr>
              <w:spacing w:line="240" w:lineRule="auto"/>
              <w:ind w:left="360"/>
            </w:pPr>
            <w:r>
              <w:t>To ensure our service delivery practice includes opportunities to meet with children and families and their supports to develop plans tha</w:t>
            </w:r>
            <w:r w:rsidR="00631A9B">
              <w:t>t address safety, risk and well-</w:t>
            </w:r>
            <w:r>
              <w:t xml:space="preserve">being.  </w:t>
            </w:r>
          </w:p>
        </w:tc>
      </w:tr>
      <w:tr w:rsidR="00A0430E" w:rsidTr="004A360E">
        <w:tc>
          <w:tcPr>
            <w:tcW w:w="4646" w:type="dxa"/>
          </w:tcPr>
          <w:p w:rsidR="00A0430E" w:rsidRPr="004B6530" w:rsidRDefault="00A0430E" w:rsidP="004A360E">
            <w:pPr>
              <w:numPr>
                <w:ilvl w:val="0"/>
                <w:numId w:val="7"/>
              </w:numPr>
              <w:tabs>
                <w:tab w:val="left" w:pos="3600"/>
                <w:tab w:val="left" w:pos="6840"/>
              </w:tabs>
              <w:spacing w:before="0" w:after="0" w:line="240" w:lineRule="auto"/>
              <w:rPr>
                <w:rFonts w:cs="Times New Roman"/>
              </w:rPr>
            </w:pPr>
            <w:r w:rsidRPr="004B6530">
              <w:rPr>
                <w:rFonts w:cs="Times New Roman"/>
              </w:rPr>
              <w:t>Collaborate with community partners to provide service that respects a child and family’s diversity, enhances parenting and improves child well-being.</w:t>
            </w:r>
          </w:p>
          <w:p w:rsidR="00A0430E" w:rsidRPr="004A360E" w:rsidRDefault="00A0430E" w:rsidP="004A360E">
            <w:pPr>
              <w:spacing w:line="240" w:lineRule="auto"/>
            </w:pPr>
          </w:p>
        </w:tc>
        <w:tc>
          <w:tcPr>
            <w:tcW w:w="4646" w:type="dxa"/>
          </w:tcPr>
          <w:p w:rsidR="00A0430E" w:rsidRDefault="002458EE" w:rsidP="004A360E">
            <w:pPr>
              <w:numPr>
                <w:ilvl w:val="0"/>
                <w:numId w:val="10"/>
              </w:numPr>
              <w:tabs>
                <w:tab w:val="left" w:pos="3600"/>
                <w:tab w:val="left" w:pos="6840"/>
              </w:tabs>
              <w:spacing w:before="0" w:after="0" w:line="240" w:lineRule="auto"/>
              <w:rPr>
                <w:rFonts w:cs="Times New Roman"/>
              </w:rPr>
            </w:pPr>
            <w:r w:rsidRPr="004B6530">
              <w:rPr>
                <w:rFonts w:cs="Times New Roman"/>
              </w:rPr>
              <w:t>Continue</w:t>
            </w:r>
            <w:r w:rsidR="00AD6E6D" w:rsidRPr="004B6530">
              <w:rPr>
                <w:rFonts w:cs="Times New Roman"/>
              </w:rPr>
              <w:t xml:space="preserve"> our</w:t>
            </w:r>
            <w:r w:rsidRPr="004B6530">
              <w:rPr>
                <w:rFonts w:cs="Times New Roman"/>
              </w:rPr>
              <w:t xml:space="preserve"> partnership</w:t>
            </w:r>
            <w:r w:rsidR="00AD6E6D" w:rsidRPr="004B6530">
              <w:rPr>
                <w:rFonts w:cs="Times New Roman"/>
              </w:rPr>
              <w:t>s</w:t>
            </w:r>
            <w:r w:rsidRPr="004B6530">
              <w:rPr>
                <w:rFonts w:cs="Times New Roman"/>
              </w:rPr>
              <w:t xml:space="preserve"> </w:t>
            </w:r>
            <w:r w:rsidR="005F7D52" w:rsidRPr="004B6530">
              <w:rPr>
                <w:rFonts w:cs="Times New Roman"/>
              </w:rPr>
              <w:t xml:space="preserve">with community service agencies to provide parent support and education, recreational opportunities for children and </w:t>
            </w:r>
            <w:r w:rsidR="00C90143" w:rsidRPr="004B6530">
              <w:rPr>
                <w:rFonts w:cs="Times New Roman"/>
              </w:rPr>
              <w:t xml:space="preserve">youth, and </w:t>
            </w:r>
            <w:r w:rsidR="00CF1952">
              <w:rPr>
                <w:rFonts w:cs="Times New Roman"/>
              </w:rPr>
              <w:t xml:space="preserve">mental health </w:t>
            </w:r>
            <w:r w:rsidR="00C90143" w:rsidRPr="004B6530">
              <w:rPr>
                <w:rFonts w:cs="Times New Roman"/>
              </w:rPr>
              <w:t>counselling</w:t>
            </w:r>
            <w:r w:rsidR="00CF1952">
              <w:rPr>
                <w:rFonts w:cs="Times New Roman"/>
              </w:rPr>
              <w:t xml:space="preserve"> </w:t>
            </w:r>
          </w:p>
          <w:p w:rsidR="00BF48BC" w:rsidRDefault="00BF48BC" w:rsidP="00BF48BC">
            <w:pPr>
              <w:tabs>
                <w:tab w:val="left" w:pos="3600"/>
                <w:tab w:val="left" w:pos="6840"/>
              </w:tabs>
              <w:spacing w:before="0" w:after="0" w:line="240" w:lineRule="auto"/>
              <w:ind w:left="360"/>
              <w:rPr>
                <w:rFonts w:cs="Times New Roman"/>
              </w:rPr>
            </w:pPr>
          </w:p>
          <w:p w:rsidR="005F7D52" w:rsidRPr="00F5749C" w:rsidRDefault="00BF48BC" w:rsidP="00F5749C">
            <w:pPr>
              <w:numPr>
                <w:ilvl w:val="0"/>
                <w:numId w:val="10"/>
              </w:numPr>
              <w:tabs>
                <w:tab w:val="left" w:pos="3600"/>
                <w:tab w:val="left" w:pos="6840"/>
              </w:tabs>
              <w:spacing w:before="0" w:after="0" w:line="240" w:lineRule="auto"/>
            </w:pPr>
            <w:r>
              <w:rPr>
                <w:rFonts w:cs="Times New Roman"/>
              </w:rPr>
              <w:t>Continue to participate in key community change initiatives such as: Moving on Mental Health, Special Needs Planning Table, Complex Needs Planning, Support for Refugees and Connectivity Table</w:t>
            </w:r>
            <w:r w:rsidR="00F5749C">
              <w:rPr>
                <w:rFonts w:cs="Times New Roman"/>
              </w:rPr>
              <w:t xml:space="preserve"> </w:t>
            </w:r>
          </w:p>
          <w:p w:rsidR="00F5749C" w:rsidRPr="004A360E" w:rsidRDefault="00F5749C" w:rsidP="00F5749C">
            <w:pPr>
              <w:tabs>
                <w:tab w:val="left" w:pos="3600"/>
                <w:tab w:val="left" w:pos="6840"/>
              </w:tabs>
              <w:spacing w:before="0" w:after="0" w:line="240" w:lineRule="auto"/>
              <w:ind w:left="360"/>
            </w:pPr>
          </w:p>
        </w:tc>
      </w:tr>
      <w:tr w:rsidR="00A0430E" w:rsidTr="004A360E">
        <w:tc>
          <w:tcPr>
            <w:tcW w:w="4646" w:type="dxa"/>
          </w:tcPr>
          <w:p w:rsidR="00A0430E" w:rsidRPr="004A360E" w:rsidRDefault="00A0430E" w:rsidP="0000296D">
            <w:pPr>
              <w:numPr>
                <w:ilvl w:val="0"/>
                <w:numId w:val="7"/>
              </w:numPr>
              <w:tabs>
                <w:tab w:val="left" w:pos="3600"/>
                <w:tab w:val="left" w:pos="6840"/>
              </w:tabs>
              <w:spacing w:before="0" w:after="0" w:line="240" w:lineRule="auto"/>
              <w:rPr>
                <w:rFonts w:cs="Times New Roman"/>
              </w:rPr>
            </w:pPr>
            <w:r w:rsidRPr="004A360E">
              <w:rPr>
                <w:rFonts w:cs="Times New Roman"/>
              </w:rPr>
              <w:t>Respond to the needs of refugee and immigrant children and families through sharing knowledge, addressing barriers and identifying strengths within their family and community</w:t>
            </w:r>
          </w:p>
          <w:p w:rsidR="00A0430E" w:rsidRPr="004A360E" w:rsidRDefault="00A0430E" w:rsidP="004A360E">
            <w:pPr>
              <w:tabs>
                <w:tab w:val="left" w:pos="3600"/>
                <w:tab w:val="left" w:pos="6840"/>
              </w:tabs>
              <w:spacing w:line="240" w:lineRule="auto"/>
              <w:rPr>
                <w:rFonts w:cs="Times New Roman"/>
              </w:rPr>
            </w:pPr>
          </w:p>
          <w:p w:rsidR="00A0430E" w:rsidRPr="004A360E" w:rsidRDefault="00A0430E" w:rsidP="004A360E">
            <w:pPr>
              <w:spacing w:line="240" w:lineRule="auto"/>
            </w:pPr>
          </w:p>
        </w:tc>
        <w:tc>
          <w:tcPr>
            <w:tcW w:w="4646" w:type="dxa"/>
          </w:tcPr>
          <w:p w:rsidR="00A0430E" w:rsidRDefault="00A0430E" w:rsidP="0000296D">
            <w:pPr>
              <w:numPr>
                <w:ilvl w:val="0"/>
                <w:numId w:val="8"/>
              </w:numPr>
              <w:spacing w:before="0" w:after="200" w:line="240" w:lineRule="auto"/>
              <w:contextualSpacing/>
              <w:rPr>
                <w:rFonts w:eastAsia="Times New Roman" w:cs="Times New Roman"/>
              </w:rPr>
            </w:pPr>
            <w:r w:rsidRPr="004A360E">
              <w:rPr>
                <w:rFonts w:eastAsia="Times New Roman" w:cs="Times New Roman"/>
              </w:rPr>
              <w:t>Increas</w:t>
            </w:r>
            <w:r w:rsidR="00C90143">
              <w:rPr>
                <w:rFonts w:eastAsia="Times New Roman" w:cs="Times New Roman"/>
              </w:rPr>
              <w:t>e</w:t>
            </w:r>
            <w:r w:rsidRPr="004A360E">
              <w:rPr>
                <w:rFonts w:eastAsia="Times New Roman" w:cs="Times New Roman"/>
              </w:rPr>
              <w:t xml:space="preserve"> our internal capacity</w:t>
            </w:r>
            <w:r w:rsidR="00C90143">
              <w:rPr>
                <w:rFonts w:eastAsia="Times New Roman" w:cs="Times New Roman"/>
              </w:rPr>
              <w:t xml:space="preserve"> to </w:t>
            </w:r>
            <w:r w:rsidRPr="004A360E">
              <w:rPr>
                <w:rFonts w:eastAsia="Times New Roman" w:cs="Times New Roman"/>
              </w:rPr>
              <w:t>respond and engage with refugee and immigrant familie</w:t>
            </w:r>
            <w:r w:rsidR="00C90143">
              <w:rPr>
                <w:rFonts w:eastAsia="Times New Roman" w:cs="Times New Roman"/>
              </w:rPr>
              <w:t>s in a culturally responsive way</w:t>
            </w:r>
          </w:p>
          <w:p w:rsidR="004A360E" w:rsidRPr="004A360E" w:rsidRDefault="004A360E" w:rsidP="004A360E">
            <w:pPr>
              <w:spacing w:before="0" w:after="200" w:line="240" w:lineRule="auto"/>
              <w:ind w:left="360"/>
              <w:contextualSpacing/>
              <w:rPr>
                <w:rFonts w:eastAsia="Times New Roman" w:cs="Times New Roman"/>
              </w:rPr>
            </w:pPr>
          </w:p>
          <w:p w:rsidR="00A0430E" w:rsidRPr="00DC3D33" w:rsidRDefault="005F69FB" w:rsidP="005F69FB">
            <w:pPr>
              <w:numPr>
                <w:ilvl w:val="0"/>
                <w:numId w:val="8"/>
              </w:numPr>
              <w:spacing w:before="0" w:after="200" w:line="240" w:lineRule="auto"/>
              <w:contextualSpacing/>
            </w:pPr>
            <w:r>
              <w:rPr>
                <w:rFonts w:eastAsia="Times New Roman" w:cs="Times New Roman"/>
              </w:rPr>
              <w:t>Continue to c</w:t>
            </w:r>
            <w:r w:rsidR="00A0430E" w:rsidRPr="004A360E">
              <w:rPr>
                <w:rFonts w:eastAsia="Times New Roman" w:cs="Times New Roman"/>
              </w:rPr>
              <w:t>ollaborat</w:t>
            </w:r>
            <w:r w:rsidR="00C90143">
              <w:rPr>
                <w:rFonts w:eastAsia="Times New Roman" w:cs="Times New Roman"/>
              </w:rPr>
              <w:t>e</w:t>
            </w:r>
            <w:r w:rsidR="0095063B">
              <w:rPr>
                <w:rFonts w:eastAsia="Times New Roman" w:cs="Times New Roman"/>
              </w:rPr>
              <w:t xml:space="preserve"> </w:t>
            </w:r>
            <w:r w:rsidR="00A0430E" w:rsidRPr="004A360E">
              <w:rPr>
                <w:rFonts w:eastAsia="Times New Roman" w:cs="Times New Roman"/>
              </w:rPr>
              <w:t xml:space="preserve">with community partners </w:t>
            </w:r>
            <w:r>
              <w:rPr>
                <w:rFonts w:eastAsia="Times New Roman" w:cs="Times New Roman"/>
              </w:rPr>
              <w:t xml:space="preserve">such as the Kitchener-Waterloo Multicultural Centre, Reception House Waterloo Region and YMCA Settlement Services </w:t>
            </w:r>
            <w:r w:rsidR="00A0430E" w:rsidRPr="004A360E">
              <w:rPr>
                <w:rFonts w:eastAsia="Times New Roman" w:cs="Times New Roman"/>
              </w:rPr>
              <w:t>to respond to the needs of refugee and immigrant families</w:t>
            </w:r>
          </w:p>
          <w:p w:rsidR="00DC3D33" w:rsidRPr="004A360E" w:rsidRDefault="00DC3D33" w:rsidP="00DC3D33">
            <w:pPr>
              <w:spacing w:before="0" w:after="200" w:line="240" w:lineRule="auto"/>
              <w:ind w:left="360"/>
              <w:contextualSpacing/>
            </w:pPr>
          </w:p>
        </w:tc>
      </w:tr>
      <w:tr w:rsidR="00A0430E" w:rsidTr="004A360E">
        <w:tc>
          <w:tcPr>
            <w:tcW w:w="4646" w:type="dxa"/>
          </w:tcPr>
          <w:p w:rsidR="00A0430E" w:rsidRPr="004A360E" w:rsidRDefault="00A0430E" w:rsidP="0000296D">
            <w:pPr>
              <w:pStyle w:val="ListParagraph"/>
              <w:numPr>
                <w:ilvl w:val="0"/>
                <w:numId w:val="7"/>
              </w:numPr>
              <w:spacing w:before="0" w:after="0" w:line="240" w:lineRule="auto"/>
              <w:rPr>
                <w:rFonts w:cs="Times New Roman"/>
              </w:rPr>
            </w:pPr>
            <w:r w:rsidRPr="004A360E">
              <w:rPr>
                <w:rFonts w:cs="Times New Roman"/>
              </w:rPr>
              <w:lastRenderedPageBreak/>
              <w:t>Ensure youth leaving care have life-long relationships and the supports they need to reach their goals</w:t>
            </w:r>
          </w:p>
          <w:p w:rsidR="00A0430E" w:rsidRPr="004A360E" w:rsidRDefault="00A0430E" w:rsidP="004A360E">
            <w:pPr>
              <w:spacing w:line="240" w:lineRule="auto"/>
            </w:pPr>
          </w:p>
        </w:tc>
        <w:tc>
          <w:tcPr>
            <w:tcW w:w="4646" w:type="dxa"/>
          </w:tcPr>
          <w:p w:rsidR="00C90143" w:rsidRDefault="00AD6E6D" w:rsidP="0000296D">
            <w:pPr>
              <w:pStyle w:val="ListParagraph"/>
              <w:numPr>
                <w:ilvl w:val="0"/>
                <w:numId w:val="9"/>
              </w:numPr>
              <w:spacing w:before="0" w:after="200" w:line="240" w:lineRule="auto"/>
              <w:rPr>
                <w:rFonts w:cs="Times New Roman"/>
              </w:rPr>
            </w:pPr>
            <w:r>
              <w:rPr>
                <w:rFonts w:cs="Times New Roman"/>
              </w:rPr>
              <w:t xml:space="preserve">Increase </w:t>
            </w:r>
            <w:r w:rsidR="00A0430E" w:rsidRPr="004A360E">
              <w:rPr>
                <w:rFonts w:cs="Times New Roman"/>
              </w:rPr>
              <w:t>network</w:t>
            </w:r>
            <w:r>
              <w:rPr>
                <w:rFonts w:cs="Times New Roman"/>
              </w:rPr>
              <w:t>s of</w:t>
            </w:r>
            <w:r w:rsidR="00A0430E" w:rsidRPr="004A360E">
              <w:rPr>
                <w:rFonts w:cs="Times New Roman"/>
              </w:rPr>
              <w:t xml:space="preserve"> supports and family connections for youth through permanency planning</w:t>
            </w:r>
            <w:r w:rsidR="00C90143">
              <w:rPr>
                <w:rFonts w:cs="Times New Roman"/>
              </w:rPr>
              <w:t xml:space="preserve"> and </w:t>
            </w:r>
            <w:r w:rsidR="00A0430E" w:rsidRPr="004A360E">
              <w:rPr>
                <w:rFonts w:cs="Times New Roman"/>
              </w:rPr>
              <w:t>family findin</w:t>
            </w:r>
            <w:r w:rsidR="00CF1952">
              <w:rPr>
                <w:rFonts w:cs="Times New Roman"/>
              </w:rPr>
              <w:t>g</w:t>
            </w:r>
          </w:p>
          <w:p w:rsidR="00C90143" w:rsidRDefault="00C90143" w:rsidP="00C90143">
            <w:pPr>
              <w:pStyle w:val="ListParagraph"/>
              <w:spacing w:before="0" w:after="200" w:line="240" w:lineRule="auto"/>
              <w:ind w:left="360"/>
              <w:rPr>
                <w:rFonts w:cs="Times New Roman"/>
              </w:rPr>
            </w:pPr>
          </w:p>
          <w:p w:rsidR="001142B8" w:rsidRPr="00C90143" w:rsidRDefault="00462BE0" w:rsidP="0000296D">
            <w:pPr>
              <w:pStyle w:val="ListParagraph"/>
              <w:numPr>
                <w:ilvl w:val="0"/>
                <w:numId w:val="9"/>
              </w:numPr>
              <w:spacing w:before="0" w:after="200" w:line="240" w:lineRule="auto"/>
              <w:rPr>
                <w:rFonts w:cs="Times New Roman"/>
              </w:rPr>
            </w:pPr>
            <w:r w:rsidRPr="00C90143">
              <w:rPr>
                <w:rFonts w:cs="Times New Roman"/>
              </w:rPr>
              <w:t xml:space="preserve">Work </w:t>
            </w:r>
            <w:r w:rsidR="00C90143">
              <w:rPr>
                <w:rFonts w:cs="Times New Roman"/>
              </w:rPr>
              <w:t xml:space="preserve">together </w:t>
            </w:r>
            <w:r w:rsidRPr="00C90143">
              <w:rPr>
                <w:rFonts w:cs="Times New Roman"/>
              </w:rPr>
              <w:t xml:space="preserve">with our community </w:t>
            </w:r>
            <w:r w:rsidR="00C90143">
              <w:rPr>
                <w:rFonts w:cs="Times New Roman"/>
              </w:rPr>
              <w:t xml:space="preserve">service providers </w:t>
            </w:r>
            <w:r w:rsidRPr="00C90143">
              <w:rPr>
                <w:rFonts w:cs="Times New Roman"/>
              </w:rPr>
              <w:t>to ensure youth have housing and other practical supports</w:t>
            </w:r>
            <w:r w:rsidR="00AD6E6D">
              <w:rPr>
                <w:rFonts w:cs="Times New Roman"/>
              </w:rPr>
              <w:t xml:space="preserve"> they need to transition to independence</w:t>
            </w:r>
            <w:r w:rsidRPr="00C90143">
              <w:rPr>
                <w:rFonts w:cs="Times New Roman"/>
              </w:rPr>
              <w:t xml:space="preserve"> </w:t>
            </w:r>
          </w:p>
          <w:p w:rsidR="004A360E" w:rsidRPr="004A360E" w:rsidRDefault="004A360E" w:rsidP="004A360E">
            <w:pPr>
              <w:pStyle w:val="ListParagraph"/>
              <w:spacing w:before="0" w:after="200" w:line="240" w:lineRule="auto"/>
              <w:ind w:left="360"/>
              <w:rPr>
                <w:rFonts w:cs="Times New Roman"/>
              </w:rPr>
            </w:pPr>
          </w:p>
          <w:p w:rsidR="009B6060" w:rsidRDefault="00A0430E" w:rsidP="0000296D">
            <w:pPr>
              <w:pStyle w:val="ListParagraph"/>
              <w:numPr>
                <w:ilvl w:val="0"/>
                <w:numId w:val="9"/>
              </w:numPr>
              <w:spacing w:before="0" w:after="200" w:line="240" w:lineRule="auto"/>
              <w:rPr>
                <w:rFonts w:cs="Times New Roman"/>
              </w:rPr>
            </w:pPr>
            <w:r w:rsidRPr="004A360E">
              <w:rPr>
                <w:rFonts w:cs="Times New Roman"/>
              </w:rPr>
              <w:t>Improve placement stability</w:t>
            </w:r>
            <w:r w:rsidR="004A360E">
              <w:rPr>
                <w:rFonts w:cs="Times New Roman"/>
              </w:rPr>
              <w:t xml:space="preserve"> </w:t>
            </w:r>
            <w:r w:rsidR="007D72A6">
              <w:rPr>
                <w:rFonts w:cs="Times New Roman"/>
              </w:rPr>
              <w:t>and the percentage of</w:t>
            </w:r>
            <w:r w:rsidR="004A360E">
              <w:rPr>
                <w:rFonts w:cs="Times New Roman"/>
              </w:rPr>
              <w:t xml:space="preserve"> youth</w:t>
            </w:r>
            <w:r w:rsidR="007D72A6">
              <w:rPr>
                <w:rFonts w:cs="Times New Roman"/>
              </w:rPr>
              <w:t xml:space="preserve"> residing in family based care</w:t>
            </w:r>
            <w:r w:rsidR="00C90143">
              <w:rPr>
                <w:rFonts w:cs="Times New Roman"/>
              </w:rPr>
              <w:t xml:space="preserve"> </w:t>
            </w:r>
          </w:p>
          <w:p w:rsidR="00501901" w:rsidRPr="007D72A6" w:rsidRDefault="00501901" w:rsidP="00C05EF7">
            <w:pPr>
              <w:pStyle w:val="ListParagraph"/>
              <w:spacing w:before="0" w:after="0" w:line="240" w:lineRule="auto"/>
              <w:rPr>
                <w:rFonts w:cs="Times New Roman"/>
              </w:rPr>
            </w:pPr>
          </w:p>
        </w:tc>
      </w:tr>
    </w:tbl>
    <w:p w:rsidR="009A009B" w:rsidRDefault="009A009B" w:rsidP="009A009B">
      <w:pPr>
        <w:rPr>
          <w:b/>
          <w:u w:val="single"/>
        </w:rPr>
      </w:pPr>
    </w:p>
    <w:p w:rsidR="008238FD" w:rsidRPr="009B6060" w:rsidRDefault="008238FD" w:rsidP="008238FD">
      <w:pPr>
        <w:rPr>
          <w:b/>
          <w:i/>
        </w:rPr>
      </w:pPr>
      <w:r>
        <w:rPr>
          <w:b/>
          <w:u w:val="single"/>
        </w:rPr>
        <w:t>Strategic Direction:</w:t>
      </w:r>
      <w:r>
        <w:rPr>
          <w:b/>
        </w:rPr>
        <w:t xml:space="preserve">  </w:t>
      </w:r>
      <w:r w:rsidR="009B6060" w:rsidRPr="009B6060">
        <w:rPr>
          <w:rFonts w:cs="Times New Roman"/>
          <w:b/>
        </w:rPr>
        <w:t>Collaboration with Indigenous families and communities</w:t>
      </w:r>
    </w:p>
    <w:tbl>
      <w:tblPr>
        <w:tblStyle w:val="TableGrid"/>
        <w:tblW w:w="0" w:type="auto"/>
        <w:tblLook w:val="04A0" w:firstRow="1" w:lastRow="0" w:firstColumn="1" w:lastColumn="0" w:noHBand="0" w:noVBand="1"/>
      </w:tblPr>
      <w:tblGrid>
        <w:gridCol w:w="4646"/>
        <w:gridCol w:w="4646"/>
      </w:tblGrid>
      <w:tr w:rsidR="00540FA6" w:rsidRPr="0060519A" w:rsidTr="000B6914">
        <w:tc>
          <w:tcPr>
            <w:tcW w:w="4646" w:type="dxa"/>
            <w:shd w:val="clear" w:color="auto" w:fill="D9D9D9" w:themeFill="background2" w:themeFillShade="D9"/>
          </w:tcPr>
          <w:p w:rsidR="00540FA6" w:rsidRPr="0060519A" w:rsidRDefault="00540FA6" w:rsidP="00540FA6">
            <w:pPr>
              <w:jc w:val="center"/>
              <w:rPr>
                <w:b/>
              </w:rPr>
            </w:pPr>
            <w:r w:rsidRPr="0060519A">
              <w:rPr>
                <w:b/>
              </w:rPr>
              <w:t>Goal</w:t>
            </w:r>
          </w:p>
        </w:tc>
        <w:tc>
          <w:tcPr>
            <w:tcW w:w="4646" w:type="dxa"/>
            <w:shd w:val="clear" w:color="auto" w:fill="D9D9D9" w:themeFill="background2" w:themeFillShade="D9"/>
          </w:tcPr>
          <w:p w:rsidR="00540FA6" w:rsidRPr="0060519A" w:rsidRDefault="00540FA6" w:rsidP="00540FA6">
            <w:pPr>
              <w:jc w:val="center"/>
              <w:rPr>
                <w:b/>
              </w:rPr>
            </w:pPr>
            <w:r w:rsidRPr="0060519A">
              <w:rPr>
                <w:b/>
              </w:rPr>
              <w:t>Key Activities</w:t>
            </w:r>
          </w:p>
        </w:tc>
      </w:tr>
      <w:tr w:rsidR="008238FD" w:rsidRPr="0060519A" w:rsidTr="000B6914">
        <w:tc>
          <w:tcPr>
            <w:tcW w:w="4646" w:type="dxa"/>
          </w:tcPr>
          <w:p w:rsidR="009B6060" w:rsidRPr="0060519A" w:rsidRDefault="009B6060" w:rsidP="0000296D">
            <w:pPr>
              <w:pStyle w:val="ListParagraph"/>
              <w:numPr>
                <w:ilvl w:val="0"/>
                <w:numId w:val="11"/>
              </w:numPr>
              <w:tabs>
                <w:tab w:val="left" w:pos="3600"/>
                <w:tab w:val="left" w:pos="6840"/>
              </w:tabs>
              <w:spacing w:line="240" w:lineRule="auto"/>
              <w:rPr>
                <w:rFonts w:cs="Times New Roman"/>
              </w:rPr>
            </w:pPr>
            <w:r w:rsidRPr="0060519A">
              <w:rPr>
                <w:rFonts w:cs="Times New Roman"/>
              </w:rPr>
              <w:t xml:space="preserve">Ensure continuous dialogue with Aboriginal Elders and community partners to develop a respectful, </w:t>
            </w:r>
            <w:proofErr w:type="spellStart"/>
            <w:r w:rsidRPr="0060519A">
              <w:rPr>
                <w:rFonts w:cs="Times New Roman"/>
              </w:rPr>
              <w:t>wholistic</w:t>
            </w:r>
            <w:proofErr w:type="spellEnd"/>
            <w:r w:rsidRPr="0060519A">
              <w:rPr>
                <w:rFonts w:cs="Times New Roman"/>
              </w:rPr>
              <w:t xml:space="preserve"> and collaborative service approach for Aboriginal children, youth and families. </w:t>
            </w:r>
          </w:p>
          <w:p w:rsidR="008238FD" w:rsidRPr="0060519A" w:rsidRDefault="008238FD" w:rsidP="000B6914"/>
        </w:tc>
        <w:tc>
          <w:tcPr>
            <w:tcW w:w="4646" w:type="dxa"/>
          </w:tcPr>
          <w:p w:rsidR="0000296D" w:rsidRDefault="005F69FB" w:rsidP="005F69FB">
            <w:pPr>
              <w:pStyle w:val="ListParagraph"/>
              <w:numPr>
                <w:ilvl w:val="0"/>
                <w:numId w:val="18"/>
              </w:numPr>
              <w:spacing w:line="240" w:lineRule="auto"/>
            </w:pPr>
            <w:r>
              <w:t xml:space="preserve">Continue our participation in the Restoration Circle with Indigenous Community leaders </w:t>
            </w:r>
          </w:p>
          <w:p w:rsidR="005F69FB" w:rsidRDefault="005F69FB" w:rsidP="005F69FB">
            <w:pPr>
              <w:pStyle w:val="ListParagraph"/>
              <w:spacing w:line="240" w:lineRule="auto"/>
              <w:ind w:left="360"/>
            </w:pPr>
          </w:p>
          <w:p w:rsidR="004A0AE3" w:rsidRDefault="005F69FB" w:rsidP="0000296D">
            <w:pPr>
              <w:pStyle w:val="ListParagraph"/>
              <w:numPr>
                <w:ilvl w:val="0"/>
                <w:numId w:val="18"/>
              </w:numPr>
              <w:spacing w:line="240" w:lineRule="auto"/>
            </w:pPr>
            <w:r>
              <w:t>Ensure all F</w:t>
            </w:r>
            <w:r w:rsidR="00894A04">
              <w:t xml:space="preserve">irst </w:t>
            </w:r>
            <w:r>
              <w:t>N</w:t>
            </w:r>
            <w:r w:rsidR="00894A04">
              <w:t xml:space="preserve">ations </w:t>
            </w:r>
            <w:r>
              <w:t>M</w:t>
            </w:r>
            <w:r w:rsidR="00894A04">
              <w:t xml:space="preserve">etis and Inuit </w:t>
            </w:r>
            <w:r>
              <w:t xml:space="preserve">families are offered </w:t>
            </w:r>
            <w:r w:rsidR="008F5458">
              <w:t>support</w:t>
            </w:r>
            <w:r w:rsidR="00462BE0">
              <w:t xml:space="preserve"> </w:t>
            </w:r>
            <w:r>
              <w:t>through Aboriginal Approach/</w:t>
            </w:r>
            <w:r w:rsidR="00462BE0">
              <w:t xml:space="preserve">ODR (Original Dispute </w:t>
            </w:r>
            <w:r w:rsidR="0000296D">
              <w:t>Resolution</w:t>
            </w:r>
            <w:r w:rsidR="008F5458">
              <w:t xml:space="preserve">), a process </w:t>
            </w:r>
            <w:r w:rsidR="00894A04">
              <w:t xml:space="preserve">that is led indigenous </w:t>
            </w:r>
            <w:r w:rsidR="004A0AE3">
              <w:t>professionals and draws upon traditional ways of healing, decision making and resolving conflict</w:t>
            </w:r>
          </w:p>
          <w:p w:rsidR="0000296D" w:rsidRDefault="0000296D" w:rsidP="004A0AE3">
            <w:pPr>
              <w:pStyle w:val="ListParagraph"/>
              <w:spacing w:line="240" w:lineRule="auto"/>
              <w:ind w:left="360"/>
            </w:pPr>
          </w:p>
          <w:p w:rsidR="00462BE0" w:rsidRPr="0060519A" w:rsidRDefault="00462BE0" w:rsidP="005F69FB">
            <w:pPr>
              <w:pStyle w:val="ListParagraph"/>
              <w:spacing w:line="240" w:lineRule="auto"/>
              <w:ind w:left="360"/>
            </w:pPr>
          </w:p>
        </w:tc>
      </w:tr>
    </w:tbl>
    <w:p w:rsidR="0060519A" w:rsidRDefault="0060519A" w:rsidP="009B6060">
      <w:pPr>
        <w:rPr>
          <w:b/>
          <w:u w:val="single"/>
        </w:rPr>
      </w:pPr>
    </w:p>
    <w:p w:rsidR="005F69FB" w:rsidRDefault="005F69FB" w:rsidP="009B6060">
      <w:pPr>
        <w:rPr>
          <w:b/>
          <w:u w:val="single"/>
        </w:rPr>
      </w:pPr>
    </w:p>
    <w:p w:rsidR="005F69FB" w:rsidRDefault="005F69FB" w:rsidP="009B6060">
      <w:pPr>
        <w:rPr>
          <w:b/>
          <w:u w:val="single"/>
        </w:rPr>
      </w:pPr>
    </w:p>
    <w:p w:rsidR="005F69FB" w:rsidRDefault="005F69FB" w:rsidP="009B6060">
      <w:pPr>
        <w:rPr>
          <w:b/>
          <w:u w:val="single"/>
        </w:rPr>
      </w:pPr>
    </w:p>
    <w:p w:rsidR="005F69FB" w:rsidRDefault="005F69FB" w:rsidP="009B6060">
      <w:pPr>
        <w:rPr>
          <w:b/>
          <w:u w:val="single"/>
        </w:rPr>
      </w:pPr>
    </w:p>
    <w:p w:rsidR="005F69FB" w:rsidRDefault="005F69FB" w:rsidP="009B6060">
      <w:pPr>
        <w:rPr>
          <w:b/>
          <w:u w:val="single"/>
        </w:rPr>
      </w:pPr>
    </w:p>
    <w:p w:rsidR="005F69FB" w:rsidRDefault="005F69FB" w:rsidP="009B6060">
      <w:pPr>
        <w:rPr>
          <w:b/>
          <w:u w:val="single"/>
        </w:rPr>
      </w:pPr>
    </w:p>
    <w:p w:rsidR="005F69FB" w:rsidRDefault="005F69FB" w:rsidP="009B6060">
      <w:pPr>
        <w:rPr>
          <w:b/>
          <w:u w:val="single"/>
        </w:rPr>
      </w:pPr>
    </w:p>
    <w:p w:rsidR="009B6060" w:rsidRPr="0060519A" w:rsidRDefault="009B6060" w:rsidP="009B6060">
      <w:pPr>
        <w:rPr>
          <w:b/>
          <w:i/>
        </w:rPr>
      </w:pPr>
      <w:r w:rsidRPr="0060519A">
        <w:rPr>
          <w:b/>
          <w:u w:val="single"/>
        </w:rPr>
        <w:t>Strategic Direction:</w:t>
      </w:r>
      <w:r w:rsidRPr="0060519A">
        <w:rPr>
          <w:b/>
        </w:rPr>
        <w:t xml:space="preserve">  </w:t>
      </w:r>
      <w:r w:rsidR="0060519A" w:rsidRPr="0060519A">
        <w:rPr>
          <w:rFonts w:cs="Times New Roman"/>
          <w:b/>
        </w:rPr>
        <w:t>Community confidence and investment in child welfare.</w:t>
      </w:r>
    </w:p>
    <w:tbl>
      <w:tblPr>
        <w:tblStyle w:val="TableGrid"/>
        <w:tblW w:w="0" w:type="auto"/>
        <w:tblLook w:val="04A0" w:firstRow="1" w:lastRow="0" w:firstColumn="1" w:lastColumn="0" w:noHBand="0" w:noVBand="1"/>
      </w:tblPr>
      <w:tblGrid>
        <w:gridCol w:w="4646"/>
        <w:gridCol w:w="4646"/>
      </w:tblGrid>
      <w:tr w:rsidR="009B6060" w:rsidRPr="0060519A" w:rsidTr="00C70A85">
        <w:tc>
          <w:tcPr>
            <w:tcW w:w="4646" w:type="dxa"/>
            <w:shd w:val="clear" w:color="auto" w:fill="D9D9D9" w:themeFill="background2" w:themeFillShade="D9"/>
          </w:tcPr>
          <w:p w:rsidR="009B6060" w:rsidRPr="0060519A" w:rsidRDefault="009B6060" w:rsidP="00C70A85">
            <w:pPr>
              <w:jc w:val="center"/>
              <w:rPr>
                <w:b/>
              </w:rPr>
            </w:pPr>
            <w:r w:rsidRPr="0060519A">
              <w:rPr>
                <w:b/>
              </w:rPr>
              <w:t>Goal</w:t>
            </w:r>
          </w:p>
        </w:tc>
        <w:tc>
          <w:tcPr>
            <w:tcW w:w="4646" w:type="dxa"/>
            <w:shd w:val="clear" w:color="auto" w:fill="D9D9D9" w:themeFill="background2" w:themeFillShade="D9"/>
          </w:tcPr>
          <w:p w:rsidR="009B6060" w:rsidRPr="0060519A" w:rsidRDefault="009B6060" w:rsidP="00C70A85">
            <w:pPr>
              <w:jc w:val="center"/>
              <w:rPr>
                <w:b/>
              </w:rPr>
            </w:pPr>
            <w:r w:rsidRPr="0060519A">
              <w:rPr>
                <w:b/>
              </w:rPr>
              <w:t>Key Activities</w:t>
            </w:r>
          </w:p>
        </w:tc>
      </w:tr>
      <w:tr w:rsidR="0060519A" w:rsidRPr="0060519A" w:rsidTr="00C70A85">
        <w:tc>
          <w:tcPr>
            <w:tcW w:w="4646" w:type="dxa"/>
          </w:tcPr>
          <w:p w:rsidR="0060519A" w:rsidRPr="00DC4E8D" w:rsidRDefault="0060519A" w:rsidP="00DC4E8D">
            <w:pPr>
              <w:pStyle w:val="ListParagraph"/>
              <w:numPr>
                <w:ilvl w:val="0"/>
                <w:numId w:val="16"/>
              </w:numPr>
              <w:tabs>
                <w:tab w:val="left" w:pos="3600"/>
                <w:tab w:val="left" w:pos="6840"/>
              </w:tabs>
              <w:spacing w:before="0" w:after="0" w:line="240" w:lineRule="auto"/>
            </w:pPr>
            <w:r w:rsidRPr="00DC4E8D">
              <w:rPr>
                <w:rFonts w:cs="Times New Roman"/>
              </w:rPr>
              <w:t>Ensure seamless and sustainable child welfare services by leveraging signature events, exploring service integration opportunities and advocating for the needs of children, youth and families.</w:t>
            </w:r>
          </w:p>
          <w:p w:rsidR="00DC4E8D" w:rsidRPr="0060519A" w:rsidRDefault="00DC4E8D" w:rsidP="00DC4E8D">
            <w:pPr>
              <w:pStyle w:val="ListParagraph"/>
              <w:tabs>
                <w:tab w:val="left" w:pos="3600"/>
                <w:tab w:val="left" w:pos="6840"/>
              </w:tabs>
              <w:spacing w:before="0" w:after="0" w:line="240" w:lineRule="auto"/>
              <w:ind w:left="360"/>
            </w:pPr>
          </w:p>
        </w:tc>
        <w:tc>
          <w:tcPr>
            <w:tcW w:w="4646" w:type="dxa"/>
          </w:tcPr>
          <w:p w:rsidR="004D343E" w:rsidRPr="00894A04" w:rsidRDefault="00894A04" w:rsidP="004D343E">
            <w:pPr>
              <w:numPr>
                <w:ilvl w:val="0"/>
                <w:numId w:val="13"/>
              </w:numPr>
              <w:spacing w:before="0" w:after="0" w:line="240" w:lineRule="auto"/>
              <w:contextualSpacing/>
            </w:pPr>
            <w:r>
              <w:rPr>
                <w:rFonts w:eastAsia="+mn-ea"/>
                <w:color w:val="000000"/>
                <w:kern w:val="24"/>
              </w:rPr>
              <w:t>Actively participate in provincial and local initiatives that</w:t>
            </w:r>
            <w:r w:rsidR="004D343E">
              <w:rPr>
                <w:rFonts w:eastAsia="+mn-ea"/>
                <w:color w:val="000000"/>
                <w:kern w:val="24"/>
              </w:rPr>
              <w:t xml:space="preserve"> support the Provincial Call to Action agenda</w:t>
            </w:r>
          </w:p>
          <w:p w:rsidR="00894A04" w:rsidRPr="0060519A" w:rsidRDefault="00894A04" w:rsidP="004D343E">
            <w:pPr>
              <w:spacing w:before="0" w:after="0" w:line="240" w:lineRule="auto"/>
              <w:ind w:left="360"/>
              <w:contextualSpacing/>
            </w:pPr>
            <w:bookmarkStart w:id="0" w:name="_GoBack"/>
            <w:bookmarkEnd w:id="0"/>
          </w:p>
        </w:tc>
      </w:tr>
      <w:tr w:rsidR="0060519A" w:rsidRPr="0060519A" w:rsidTr="00C70A85">
        <w:tc>
          <w:tcPr>
            <w:tcW w:w="4646" w:type="dxa"/>
          </w:tcPr>
          <w:p w:rsidR="0060519A" w:rsidRPr="0060519A" w:rsidRDefault="0060519A" w:rsidP="0000296D">
            <w:pPr>
              <w:pStyle w:val="ListParagraph"/>
              <w:numPr>
                <w:ilvl w:val="0"/>
                <w:numId w:val="16"/>
              </w:numPr>
              <w:tabs>
                <w:tab w:val="left" w:pos="3600"/>
                <w:tab w:val="left" w:pos="6840"/>
              </w:tabs>
              <w:spacing w:before="0" w:after="0" w:line="240" w:lineRule="auto"/>
              <w:rPr>
                <w:rFonts w:cs="Times New Roman"/>
              </w:rPr>
            </w:pPr>
            <w:r w:rsidRPr="0060519A">
              <w:rPr>
                <w:rFonts w:cs="Times New Roman"/>
              </w:rPr>
              <w:t>Measure and share outcomes with all stakeholders and seek their input to continually improve services.</w:t>
            </w:r>
          </w:p>
          <w:p w:rsidR="0060519A" w:rsidRPr="0060519A" w:rsidRDefault="0060519A" w:rsidP="00C70A85">
            <w:pPr>
              <w:tabs>
                <w:tab w:val="left" w:pos="3600"/>
                <w:tab w:val="left" w:pos="6840"/>
              </w:tabs>
              <w:rPr>
                <w:rFonts w:cs="Times New Roman"/>
              </w:rPr>
            </w:pPr>
          </w:p>
          <w:p w:rsidR="0060519A" w:rsidRPr="0060519A" w:rsidRDefault="0060519A" w:rsidP="00C70A85"/>
        </w:tc>
        <w:tc>
          <w:tcPr>
            <w:tcW w:w="4646" w:type="dxa"/>
          </w:tcPr>
          <w:p w:rsidR="00CF1952" w:rsidRDefault="00C05EF7" w:rsidP="00C05EF7">
            <w:pPr>
              <w:pStyle w:val="ListParagraph"/>
              <w:numPr>
                <w:ilvl w:val="0"/>
                <w:numId w:val="19"/>
              </w:numPr>
              <w:spacing w:before="0" w:after="0" w:line="240" w:lineRule="auto"/>
              <w:rPr>
                <w:rFonts w:eastAsia="Times New Roman" w:cs="Times New Roman"/>
              </w:rPr>
            </w:pPr>
            <w:r>
              <w:rPr>
                <w:rFonts w:eastAsia="Times New Roman" w:cs="Times New Roman"/>
              </w:rPr>
              <w:t>Continue to s</w:t>
            </w:r>
            <w:r w:rsidR="00690E48">
              <w:rPr>
                <w:rFonts w:eastAsia="Times New Roman" w:cs="Times New Roman"/>
              </w:rPr>
              <w:t xml:space="preserve">upport the work of the </w:t>
            </w:r>
            <w:r w:rsidR="0040335F">
              <w:rPr>
                <w:rFonts w:eastAsia="Times New Roman" w:cs="Times New Roman"/>
              </w:rPr>
              <w:t>provincial performance i</w:t>
            </w:r>
            <w:r w:rsidR="003866AC">
              <w:rPr>
                <w:rFonts w:eastAsia="Times New Roman" w:cs="Times New Roman"/>
              </w:rPr>
              <w:t xml:space="preserve">ndicator </w:t>
            </w:r>
            <w:r w:rsidR="0040335F">
              <w:rPr>
                <w:rFonts w:eastAsia="Times New Roman" w:cs="Times New Roman"/>
              </w:rPr>
              <w:t>p</w:t>
            </w:r>
            <w:r w:rsidR="00690E48">
              <w:rPr>
                <w:rFonts w:eastAsia="Times New Roman" w:cs="Times New Roman"/>
              </w:rPr>
              <w:t>roject</w:t>
            </w:r>
          </w:p>
          <w:p w:rsidR="00CF1952" w:rsidRDefault="00CF1952" w:rsidP="00CF1952">
            <w:pPr>
              <w:pStyle w:val="ListParagraph"/>
              <w:spacing w:before="0" w:after="0" w:line="240" w:lineRule="auto"/>
              <w:ind w:left="360"/>
              <w:rPr>
                <w:rFonts w:eastAsia="Times New Roman" w:cs="Times New Roman"/>
              </w:rPr>
            </w:pPr>
          </w:p>
          <w:p w:rsidR="00690E48" w:rsidRPr="00C05EF7" w:rsidRDefault="00CF1952" w:rsidP="00C05EF7">
            <w:pPr>
              <w:pStyle w:val="ListParagraph"/>
              <w:numPr>
                <w:ilvl w:val="0"/>
                <w:numId w:val="19"/>
              </w:numPr>
              <w:spacing w:before="0" w:after="0" w:line="240" w:lineRule="auto"/>
              <w:rPr>
                <w:rFonts w:eastAsia="Times New Roman" w:cs="Times New Roman"/>
              </w:rPr>
            </w:pPr>
            <w:r>
              <w:rPr>
                <w:rFonts w:eastAsia="Times New Roman" w:cs="Times New Roman"/>
              </w:rPr>
              <w:t xml:space="preserve">Share our local </w:t>
            </w:r>
            <w:r w:rsidR="0040335F" w:rsidRPr="00C05EF7">
              <w:rPr>
                <w:rFonts w:eastAsia="Times New Roman" w:cs="Times New Roman"/>
              </w:rPr>
              <w:t>data o</w:t>
            </w:r>
            <w:r w:rsidR="008F5458" w:rsidRPr="00C05EF7">
              <w:rPr>
                <w:rFonts w:eastAsia="Times New Roman" w:cs="Times New Roman"/>
              </w:rPr>
              <w:t>n five</w:t>
            </w:r>
            <w:r w:rsidR="0040335F" w:rsidRPr="00C05EF7">
              <w:rPr>
                <w:rFonts w:eastAsia="Times New Roman" w:cs="Times New Roman"/>
              </w:rPr>
              <w:t xml:space="preserve"> </w:t>
            </w:r>
            <w:r>
              <w:rPr>
                <w:rFonts w:eastAsia="Times New Roman" w:cs="Times New Roman"/>
              </w:rPr>
              <w:t xml:space="preserve">key </w:t>
            </w:r>
            <w:r w:rsidR="0040335F" w:rsidRPr="00C05EF7">
              <w:rPr>
                <w:rFonts w:eastAsia="Times New Roman" w:cs="Times New Roman"/>
              </w:rPr>
              <w:t>performance indicators</w:t>
            </w:r>
            <w:r w:rsidR="008F5458" w:rsidRPr="00C05EF7">
              <w:rPr>
                <w:rFonts w:eastAsia="Times New Roman" w:cs="Times New Roman"/>
              </w:rPr>
              <w:t xml:space="preserve"> that </w:t>
            </w:r>
            <w:r w:rsidR="0040335F" w:rsidRPr="00C05EF7">
              <w:rPr>
                <w:rFonts w:eastAsia="Times New Roman" w:cs="Times New Roman"/>
              </w:rPr>
              <w:t>measur</w:t>
            </w:r>
            <w:r w:rsidR="008F5458" w:rsidRPr="00C05EF7">
              <w:rPr>
                <w:rFonts w:eastAsia="Times New Roman" w:cs="Times New Roman"/>
              </w:rPr>
              <w:t xml:space="preserve">e </w:t>
            </w:r>
            <w:r w:rsidR="0040335F" w:rsidRPr="00C05EF7">
              <w:rPr>
                <w:rFonts w:eastAsia="Times New Roman" w:cs="Times New Roman"/>
              </w:rPr>
              <w:t>critical child welfare outcomes in the areas of safety, permanenc</w:t>
            </w:r>
            <w:r w:rsidR="008F5458" w:rsidRPr="00C05EF7">
              <w:rPr>
                <w:rFonts w:eastAsia="Times New Roman" w:cs="Times New Roman"/>
              </w:rPr>
              <w:t>e</w:t>
            </w:r>
            <w:r w:rsidR="0040335F" w:rsidRPr="00C05EF7">
              <w:rPr>
                <w:rFonts w:eastAsia="Times New Roman" w:cs="Times New Roman"/>
              </w:rPr>
              <w:t xml:space="preserve"> and well-being</w:t>
            </w:r>
          </w:p>
          <w:p w:rsidR="003866AC" w:rsidRPr="003866AC" w:rsidRDefault="003866AC" w:rsidP="00DC4E8D">
            <w:pPr>
              <w:pStyle w:val="ListParagraph"/>
              <w:spacing w:line="240" w:lineRule="auto"/>
              <w:rPr>
                <w:rFonts w:eastAsia="Times New Roman" w:cs="Times New Roman"/>
              </w:rPr>
            </w:pPr>
          </w:p>
          <w:p w:rsidR="0040335F" w:rsidRDefault="007D017D" w:rsidP="00DC4E8D">
            <w:pPr>
              <w:pStyle w:val="ListParagraph"/>
              <w:numPr>
                <w:ilvl w:val="0"/>
                <w:numId w:val="19"/>
              </w:numPr>
              <w:spacing w:before="0" w:after="0" w:line="240" w:lineRule="auto"/>
              <w:rPr>
                <w:rFonts w:eastAsia="Times New Roman" w:cs="Times New Roman"/>
              </w:rPr>
            </w:pPr>
            <w:r>
              <w:rPr>
                <w:rFonts w:eastAsia="Times New Roman" w:cs="Times New Roman"/>
              </w:rPr>
              <w:t xml:space="preserve">Monitor and implement strategies in our </w:t>
            </w:r>
            <w:r w:rsidR="0040335F">
              <w:rPr>
                <w:rFonts w:eastAsia="Times New Roman" w:cs="Times New Roman"/>
              </w:rPr>
              <w:t>Quality Improvement Plan to improve</w:t>
            </w:r>
            <w:r>
              <w:rPr>
                <w:rFonts w:eastAsia="Times New Roman" w:cs="Times New Roman"/>
              </w:rPr>
              <w:t xml:space="preserve"> compliance</w:t>
            </w:r>
          </w:p>
          <w:p w:rsidR="0087656D" w:rsidRPr="0087656D" w:rsidRDefault="0087656D" w:rsidP="0087656D">
            <w:pPr>
              <w:pStyle w:val="ListParagraph"/>
              <w:rPr>
                <w:rFonts w:eastAsia="Times New Roman" w:cs="Times New Roman"/>
              </w:rPr>
            </w:pPr>
          </w:p>
          <w:p w:rsidR="0087656D" w:rsidRDefault="0087656D" w:rsidP="00DC4E8D">
            <w:pPr>
              <w:pStyle w:val="ListParagraph"/>
              <w:numPr>
                <w:ilvl w:val="0"/>
                <w:numId w:val="19"/>
              </w:numPr>
              <w:spacing w:before="0" w:after="0" w:line="240" w:lineRule="auto"/>
              <w:rPr>
                <w:rFonts w:eastAsia="Times New Roman" w:cs="Times New Roman"/>
              </w:rPr>
            </w:pPr>
            <w:r>
              <w:rPr>
                <w:rFonts w:eastAsia="Times New Roman" w:cs="Times New Roman"/>
              </w:rPr>
              <w:t>Continu</w:t>
            </w:r>
            <w:r w:rsidR="00BF48BC">
              <w:rPr>
                <w:rFonts w:eastAsia="Times New Roman" w:cs="Times New Roman"/>
              </w:rPr>
              <w:t>e to</w:t>
            </w:r>
            <w:r>
              <w:rPr>
                <w:rFonts w:eastAsia="Times New Roman" w:cs="Times New Roman"/>
              </w:rPr>
              <w:t xml:space="preserve"> </w:t>
            </w:r>
            <w:r w:rsidR="00BF48BC">
              <w:rPr>
                <w:rFonts w:eastAsia="Times New Roman" w:cs="Times New Roman"/>
              </w:rPr>
              <w:t>assess</w:t>
            </w:r>
            <w:r>
              <w:rPr>
                <w:rFonts w:eastAsia="Times New Roman" w:cs="Times New Roman"/>
              </w:rPr>
              <w:t xml:space="preserve"> and implement learnings from Ministerial reviews and </w:t>
            </w:r>
            <w:r w:rsidR="00BF48BC">
              <w:rPr>
                <w:rFonts w:eastAsia="Times New Roman" w:cs="Times New Roman"/>
              </w:rPr>
              <w:t>report</w:t>
            </w:r>
            <w:r w:rsidR="00CF1952">
              <w:rPr>
                <w:rFonts w:eastAsia="Times New Roman" w:cs="Times New Roman"/>
              </w:rPr>
              <w:t>s</w:t>
            </w:r>
            <w:r>
              <w:rPr>
                <w:rFonts w:eastAsia="Times New Roman" w:cs="Times New Roman"/>
              </w:rPr>
              <w:t>, including: Crown Ward Reviews, Serious Occurrences, PACY and Quarterly Ministry Service and Financial Data Reporting</w:t>
            </w:r>
          </w:p>
          <w:p w:rsidR="003F0B6F" w:rsidRPr="003F0B6F" w:rsidRDefault="003F0B6F" w:rsidP="00DC4E8D">
            <w:pPr>
              <w:pStyle w:val="ListParagraph"/>
              <w:spacing w:line="240" w:lineRule="auto"/>
              <w:rPr>
                <w:rFonts w:eastAsia="Times New Roman" w:cs="Times New Roman"/>
              </w:rPr>
            </w:pPr>
          </w:p>
          <w:p w:rsidR="0060519A" w:rsidRPr="00DB698F" w:rsidRDefault="0040335F" w:rsidP="00DC4E8D">
            <w:pPr>
              <w:pStyle w:val="ListParagraph"/>
              <w:numPr>
                <w:ilvl w:val="0"/>
                <w:numId w:val="19"/>
              </w:numPr>
              <w:spacing w:before="0" w:after="0" w:line="240" w:lineRule="auto"/>
            </w:pPr>
            <w:r>
              <w:rPr>
                <w:rFonts w:eastAsia="Times New Roman" w:cs="Times New Roman"/>
              </w:rPr>
              <w:t xml:space="preserve">Continue </w:t>
            </w:r>
            <w:r w:rsidR="003F0B6F">
              <w:rPr>
                <w:rFonts w:eastAsia="Times New Roman" w:cs="Times New Roman"/>
              </w:rPr>
              <w:t xml:space="preserve">to </w:t>
            </w:r>
            <w:r>
              <w:rPr>
                <w:rFonts w:eastAsia="Times New Roman" w:cs="Times New Roman"/>
              </w:rPr>
              <w:t xml:space="preserve">gather </w:t>
            </w:r>
            <w:r w:rsidR="002070AE">
              <w:rPr>
                <w:rFonts w:eastAsia="Times New Roman" w:cs="Times New Roman"/>
              </w:rPr>
              <w:t xml:space="preserve">and learn from data and </w:t>
            </w:r>
            <w:r>
              <w:rPr>
                <w:rFonts w:eastAsia="Times New Roman" w:cs="Times New Roman"/>
              </w:rPr>
              <w:t xml:space="preserve">feedback from </w:t>
            </w:r>
            <w:r w:rsidR="002070AE">
              <w:rPr>
                <w:rFonts w:eastAsia="Times New Roman" w:cs="Times New Roman"/>
              </w:rPr>
              <w:t xml:space="preserve">the children, youth and </w:t>
            </w:r>
            <w:r>
              <w:rPr>
                <w:rFonts w:eastAsia="Times New Roman" w:cs="Times New Roman"/>
              </w:rPr>
              <w:t xml:space="preserve">families </w:t>
            </w:r>
            <w:r w:rsidR="00591F37">
              <w:rPr>
                <w:rFonts w:eastAsia="Times New Roman" w:cs="Times New Roman"/>
              </w:rPr>
              <w:t>we serve</w:t>
            </w:r>
          </w:p>
          <w:p w:rsidR="00DB698F" w:rsidRPr="0060519A" w:rsidRDefault="00DB698F" w:rsidP="00DB698F">
            <w:pPr>
              <w:pStyle w:val="ListParagraph"/>
              <w:spacing w:before="0" w:after="0" w:line="240" w:lineRule="auto"/>
              <w:ind w:left="360"/>
            </w:pPr>
          </w:p>
        </w:tc>
      </w:tr>
      <w:tr w:rsidR="0060519A" w:rsidRPr="0060519A" w:rsidTr="00C70A85">
        <w:tc>
          <w:tcPr>
            <w:tcW w:w="4646" w:type="dxa"/>
          </w:tcPr>
          <w:p w:rsidR="0060519A" w:rsidRPr="0060519A" w:rsidRDefault="0060519A" w:rsidP="0000296D">
            <w:pPr>
              <w:pStyle w:val="ListParagraph"/>
              <w:numPr>
                <w:ilvl w:val="0"/>
                <w:numId w:val="16"/>
              </w:numPr>
              <w:spacing w:before="0" w:after="0" w:line="240" w:lineRule="auto"/>
            </w:pPr>
            <w:r w:rsidRPr="0060519A">
              <w:t>Build a</w:t>
            </w:r>
            <w:r>
              <w:t xml:space="preserve">wareness across our communities </w:t>
            </w:r>
            <w:r w:rsidRPr="0060519A">
              <w:t>of our agency’s contributions to child and youth safety and well-being.</w:t>
            </w:r>
          </w:p>
          <w:p w:rsidR="0060519A" w:rsidRPr="0060519A" w:rsidRDefault="0060519A" w:rsidP="00C70A85"/>
        </w:tc>
        <w:tc>
          <w:tcPr>
            <w:tcW w:w="4646" w:type="dxa"/>
          </w:tcPr>
          <w:p w:rsidR="0042354C" w:rsidRDefault="0042354C" w:rsidP="002A3840">
            <w:pPr>
              <w:numPr>
                <w:ilvl w:val="0"/>
                <w:numId w:val="24"/>
              </w:numPr>
              <w:spacing w:before="0" w:after="0" w:line="240" w:lineRule="auto"/>
              <w:contextualSpacing/>
            </w:pPr>
            <w:r>
              <w:t>Continue to engage with our community and local service partners on the role of a Children’</w:t>
            </w:r>
            <w:r w:rsidR="008C73F6">
              <w:t xml:space="preserve">s Aid Society </w:t>
            </w:r>
          </w:p>
          <w:p w:rsidR="00DC3D33" w:rsidRDefault="00DC3D33" w:rsidP="00DC3D33">
            <w:pPr>
              <w:spacing w:before="0" w:after="0" w:line="240" w:lineRule="auto"/>
              <w:ind w:left="360"/>
              <w:contextualSpacing/>
            </w:pPr>
          </w:p>
          <w:p w:rsidR="002A3840" w:rsidRDefault="002A3840" w:rsidP="002A3840">
            <w:pPr>
              <w:numPr>
                <w:ilvl w:val="0"/>
                <w:numId w:val="24"/>
              </w:numPr>
              <w:spacing w:before="0" w:after="0" w:line="240" w:lineRule="auto"/>
              <w:contextualSpacing/>
            </w:pPr>
            <w:r w:rsidRPr="00ED77B9">
              <w:t xml:space="preserve">Leverage our </w:t>
            </w:r>
            <w:r>
              <w:t xml:space="preserve">Foundation’s </w:t>
            </w:r>
            <w:r w:rsidRPr="00ED77B9">
              <w:t>signature events as opportun</w:t>
            </w:r>
            <w:r>
              <w:t xml:space="preserve">ities to increase </w:t>
            </w:r>
            <w:r w:rsidRPr="00ED77B9">
              <w:t>public awareness</w:t>
            </w:r>
          </w:p>
          <w:p w:rsidR="002A3840" w:rsidRPr="0060519A" w:rsidRDefault="002A3840" w:rsidP="008C73F6">
            <w:pPr>
              <w:spacing w:before="0" w:after="0" w:line="240" w:lineRule="auto"/>
              <w:ind w:left="360"/>
              <w:contextualSpacing/>
            </w:pPr>
          </w:p>
        </w:tc>
      </w:tr>
      <w:tr w:rsidR="0060519A" w:rsidRPr="0060519A" w:rsidTr="00C70A85">
        <w:tc>
          <w:tcPr>
            <w:tcW w:w="4646" w:type="dxa"/>
          </w:tcPr>
          <w:p w:rsidR="0060519A" w:rsidRPr="0060519A" w:rsidRDefault="0060519A" w:rsidP="0000296D">
            <w:pPr>
              <w:pStyle w:val="ListParagraph"/>
              <w:numPr>
                <w:ilvl w:val="0"/>
                <w:numId w:val="16"/>
              </w:numPr>
              <w:spacing w:before="0" w:after="0" w:line="240" w:lineRule="auto"/>
            </w:pPr>
            <w:r w:rsidRPr="0060519A">
              <w:lastRenderedPageBreak/>
              <w:t>Together with the Family and Children’s Services Foundation, foster community commitment and investment in the children, youth and families we serve.</w:t>
            </w:r>
          </w:p>
          <w:p w:rsidR="0060519A" w:rsidRPr="0060519A" w:rsidRDefault="0060519A" w:rsidP="0060519A">
            <w:pPr>
              <w:pStyle w:val="TOC3"/>
              <w:ind w:left="720"/>
              <w:jc w:val="both"/>
            </w:pPr>
          </w:p>
        </w:tc>
        <w:tc>
          <w:tcPr>
            <w:tcW w:w="4646" w:type="dxa"/>
          </w:tcPr>
          <w:p w:rsidR="00617187" w:rsidRDefault="007D017D" w:rsidP="00062715">
            <w:pPr>
              <w:pStyle w:val="ListParagraph"/>
              <w:numPr>
                <w:ilvl w:val="0"/>
                <w:numId w:val="23"/>
              </w:numPr>
              <w:spacing w:before="0" w:after="200" w:line="240" w:lineRule="auto"/>
              <w:rPr>
                <w:rFonts w:eastAsia="Times New Roman" w:cs="Times New Roman"/>
              </w:rPr>
            </w:pPr>
            <w:r>
              <w:rPr>
                <w:rFonts w:eastAsia="Times New Roman" w:cs="Times New Roman"/>
              </w:rPr>
              <w:t>Continue to m</w:t>
            </w:r>
            <w:r w:rsidR="00617187" w:rsidRPr="00617187">
              <w:rPr>
                <w:rFonts w:eastAsia="Times New Roman" w:cs="Times New Roman"/>
              </w:rPr>
              <w:t>aximize the strategic alignment between the Foundation and Agency</w:t>
            </w:r>
          </w:p>
          <w:p w:rsidR="001E2061" w:rsidRPr="00617187" w:rsidRDefault="001E2061" w:rsidP="00062715">
            <w:pPr>
              <w:pStyle w:val="ListParagraph"/>
              <w:spacing w:before="0" w:after="200" w:line="240" w:lineRule="auto"/>
              <w:ind w:left="360"/>
              <w:rPr>
                <w:rFonts w:eastAsia="Times New Roman" w:cs="Times New Roman"/>
              </w:rPr>
            </w:pPr>
          </w:p>
          <w:p w:rsidR="00617187" w:rsidRDefault="007D017D" w:rsidP="00062715">
            <w:pPr>
              <w:pStyle w:val="ListParagraph"/>
              <w:numPr>
                <w:ilvl w:val="0"/>
                <w:numId w:val="23"/>
              </w:numPr>
              <w:spacing w:before="0" w:after="200" w:line="240" w:lineRule="auto"/>
              <w:rPr>
                <w:rFonts w:eastAsia="Times New Roman" w:cs="Times New Roman"/>
              </w:rPr>
            </w:pPr>
            <w:r>
              <w:rPr>
                <w:rFonts w:eastAsia="Times New Roman" w:cs="Times New Roman"/>
              </w:rPr>
              <w:t>Support</w:t>
            </w:r>
            <w:r w:rsidR="002070AE">
              <w:rPr>
                <w:rFonts w:eastAsia="Times New Roman" w:cs="Times New Roman"/>
              </w:rPr>
              <w:t xml:space="preserve"> </w:t>
            </w:r>
            <w:r w:rsidR="00617187" w:rsidRPr="00ED77B9">
              <w:rPr>
                <w:rFonts w:eastAsia="Times New Roman" w:cs="Times New Roman"/>
              </w:rPr>
              <w:t xml:space="preserve">a strong governance process </w:t>
            </w:r>
            <w:r w:rsidR="00617187">
              <w:rPr>
                <w:rFonts w:eastAsia="Times New Roman" w:cs="Times New Roman"/>
              </w:rPr>
              <w:t>for the Agency and Foundation Boards</w:t>
            </w:r>
          </w:p>
          <w:p w:rsidR="001E2061" w:rsidRPr="001E2061" w:rsidRDefault="001E2061" w:rsidP="00062715">
            <w:pPr>
              <w:pStyle w:val="ListParagraph"/>
              <w:spacing w:line="240" w:lineRule="auto"/>
              <w:rPr>
                <w:rFonts w:eastAsia="Times New Roman" w:cs="Times New Roman"/>
              </w:rPr>
            </w:pPr>
          </w:p>
          <w:p w:rsidR="00DB698F" w:rsidRDefault="007D017D" w:rsidP="00DB698F">
            <w:pPr>
              <w:pStyle w:val="ListParagraph"/>
              <w:numPr>
                <w:ilvl w:val="0"/>
                <w:numId w:val="23"/>
              </w:numPr>
              <w:spacing w:before="0" w:after="200" w:line="240" w:lineRule="auto"/>
              <w:rPr>
                <w:rFonts w:eastAsia="Times New Roman" w:cs="Times New Roman"/>
              </w:rPr>
            </w:pPr>
            <w:r>
              <w:rPr>
                <w:rFonts w:eastAsia="Times New Roman" w:cs="Times New Roman"/>
              </w:rPr>
              <w:t xml:space="preserve">Continue to implement </w:t>
            </w:r>
            <w:r w:rsidR="00ED77B9" w:rsidRPr="00ED77B9">
              <w:rPr>
                <w:rFonts w:eastAsia="Times New Roman" w:cs="Times New Roman"/>
              </w:rPr>
              <w:t>key are</w:t>
            </w:r>
            <w:r w:rsidR="00ED77B9">
              <w:rPr>
                <w:rFonts w:eastAsia="Times New Roman" w:cs="Times New Roman"/>
              </w:rPr>
              <w:t xml:space="preserve">as of focus and </w:t>
            </w:r>
            <w:r>
              <w:rPr>
                <w:rFonts w:eastAsia="Times New Roman" w:cs="Times New Roman"/>
              </w:rPr>
              <w:t>the</w:t>
            </w:r>
            <w:r w:rsidR="00ED77B9">
              <w:rPr>
                <w:rFonts w:eastAsia="Times New Roman" w:cs="Times New Roman"/>
              </w:rPr>
              <w:t xml:space="preserve"> multi-year development plan for the Foundation </w:t>
            </w:r>
          </w:p>
          <w:p w:rsidR="00DB698F" w:rsidRPr="00DB698F" w:rsidRDefault="00DB698F" w:rsidP="00DB698F">
            <w:pPr>
              <w:pStyle w:val="ListParagraph"/>
              <w:rPr>
                <w:rFonts w:eastAsia="Times New Roman" w:cs="Times New Roman"/>
              </w:rPr>
            </w:pPr>
          </w:p>
          <w:p w:rsidR="0060519A" w:rsidRPr="00DB698F" w:rsidRDefault="007D017D" w:rsidP="007D017D">
            <w:pPr>
              <w:pStyle w:val="ListParagraph"/>
              <w:numPr>
                <w:ilvl w:val="0"/>
                <w:numId w:val="23"/>
              </w:numPr>
              <w:spacing w:before="0" w:after="200" w:line="240" w:lineRule="auto"/>
              <w:rPr>
                <w:rFonts w:eastAsia="Times New Roman" w:cs="Times New Roman"/>
              </w:rPr>
            </w:pPr>
            <w:r>
              <w:rPr>
                <w:rFonts w:eastAsia="Times New Roman" w:cs="Times New Roman"/>
              </w:rPr>
              <w:t>Continue to s</w:t>
            </w:r>
            <w:r w:rsidR="00ED77B9" w:rsidRPr="00DB698F">
              <w:rPr>
                <w:rFonts w:eastAsia="Times New Roman" w:cs="Times New Roman"/>
              </w:rPr>
              <w:t xml:space="preserve">trengthen and build relationships with </w:t>
            </w:r>
            <w:r w:rsidR="002070AE" w:rsidRPr="00DB698F">
              <w:rPr>
                <w:rFonts w:eastAsia="Times New Roman" w:cs="Times New Roman"/>
              </w:rPr>
              <w:t>existing and potential d</w:t>
            </w:r>
            <w:r w:rsidR="00ED77B9" w:rsidRPr="00DB698F">
              <w:rPr>
                <w:rFonts w:eastAsia="Times New Roman" w:cs="Times New Roman"/>
              </w:rPr>
              <w:t xml:space="preserve">onors </w:t>
            </w:r>
          </w:p>
        </w:tc>
      </w:tr>
    </w:tbl>
    <w:p w:rsidR="008238FD" w:rsidRDefault="008238FD" w:rsidP="008238FD"/>
    <w:p w:rsidR="00D37323" w:rsidRDefault="00D37323" w:rsidP="00D37323">
      <w:pPr>
        <w:rPr>
          <w:b/>
          <w:i/>
        </w:rPr>
      </w:pPr>
      <w:r>
        <w:rPr>
          <w:b/>
          <w:u w:val="single"/>
        </w:rPr>
        <w:t>Strategic Direction:</w:t>
      </w:r>
      <w:r>
        <w:rPr>
          <w:b/>
        </w:rPr>
        <w:t xml:space="preserve">  </w:t>
      </w:r>
      <w:r w:rsidR="009B6060" w:rsidRPr="009B6060">
        <w:rPr>
          <w:rFonts w:cs="Times New Roman"/>
          <w:b/>
        </w:rPr>
        <w:t>A healthy and creative organization</w:t>
      </w:r>
    </w:p>
    <w:tbl>
      <w:tblPr>
        <w:tblStyle w:val="TableGrid"/>
        <w:tblW w:w="0" w:type="auto"/>
        <w:tblLook w:val="04A0" w:firstRow="1" w:lastRow="0" w:firstColumn="1" w:lastColumn="0" w:noHBand="0" w:noVBand="1"/>
      </w:tblPr>
      <w:tblGrid>
        <w:gridCol w:w="4646"/>
        <w:gridCol w:w="4646"/>
      </w:tblGrid>
      <w:tr w:rsidR="00540FA6" w:rsidTr="00826D60">
        <w:tc>
          <w:tcPr>
            <w:tcW w:w="4646" w:type="dxa"/>
            <w:shd w:val="clear" w:color="auto" w:fill="D9D9D9" w:themeFill="background2" w:themeFillShade="D9"/>
          </w:tcPr>
          <w:p w:rsidR="00540FA6" w:rsidRPr="008238FD" w:rsidRDefault="00540FA6" w:rsidP="00540FA6">
            <w:pPr>
              <w:jc w:val="center"/>
              <w:rPr>
                <w:b/>
              </w:rPr>
            </w:pPr>
            <w:r>
              <w:rPr>
                <w:b/>
              </w:rPr>
              <w:t>Goal</w:t>
            </w:r>
          </w:p>
        </w:tc>
        <w:tc>
          <w:tcPr>
            <w:tcW w:w="4646" w:type="dxa"/>
            <w:shd w:val="clear" w:color="auto" w:fill="D9D9D9" w:themeFill="background2" w:themeFillShade="D9"/>
          </w:tcPr>
          <w:p w:rsidR="00540FA6" w:rsidRPr="008238FD" w:rsidRDefault="00540FA6" w:rsidP="00540FA6">
            <w:pPr>
              <w:jc w:val="center"/>
              <w:rPr>
                <w:b/>
              </w:rPr>
            </w:pPr>
            <w:r>
              <w:rPr>
                <w:b/>
              </w:rPr>
              <w:t>Key Activities</w:t>
            </w:r>
          </w:p>
        </w:tc>
      </w:tr>
      <w:tr w:rsidR="009B6060" w:rsidTr="00826D60">
        <w:tc>
          <w:tcPr>
            <w:tcW w:w="4646" w:type="dxa"/>
          </w:tcPr>
          <w:p w:rsidR="009B6060" w:rsidRPr="009B6060" w:rsidRDefault="009B6060" w:rsidP="0000296D">
            <w:pPr>
              <w:numPr>
                <w:ilvl w:val="0"/>
                <w:numId w:val="12"/>
              </w:numPr>
              <w:tabs>
                <w:tab w:val="left" w:pos="3600"/>
                <w:tab w:val="left" w:pos="6840"/>
              </w:tabs>
              <w:spacing w:before="0" w:after="0" w:line="240" w:lineRule="auto"/>
              <w:rPr>
                <w:rFonts w:cs="Times New Roman"/>
              </w:rPr>
            </w:pPr>
            <w:r w:rsidRPr="009B6060">
              <w:rPr>
                <w:rFonts w:cs="Times New Roman"/>
              </w:rPr>
              <w:t>Value and support all members of the agency team (staff, caregivers and volunteers) through the implementation of active strategies that promote well-being.</w:t>
            </w:r>
          </w:p>
          <w:p w:rsidR="009B6060" w:rsidRPr="009B6060" w:rsidRDefault="009B6060" w:rsidP="00C70A85">
            <w:pPr>
              <w:tabs>
                <w:tab w:val="left" w:pos="3600"/>
                <w:tab w:val="left" w:pos="6840"/>
              </w:tabs>
              <w:rPr>
                <w:rFonts w:cs="Times New Roman"/>
              </w:rPr>
            </w:pPr>
          </w:p>
          <w:p w:rsidR="009B6060" w:rsidRPr="009B6060" w:rsidRDefault="009B6060" w:rsidP="00826D60"/>
        </w:tc>
        <w:tc>
          <w:tcPr>
            <w:tcW w:w="4646" w:type="dxa"/>
          </w:tcPr>
          <w:p w:rsidR="00F961B0" w:rsidRDefault="00F961B0" w:rsidP="00062715">
            <w:pPr>
              <w:pStyle w:val="ListParagraph"/>
              <w:numPr>
                <w:ilvl w:val="0"/>
                <w:numId w:val="20"/>
              </w:numPr>
              <w:spacing w:before="0" w:after="0" w:line="240" w:lineRule="auto"/>
              <w:rPr>
                <w:rFonts w:eastAsia="Times New Roman" w:cs="Times New Roman"/>
              </w:rPr>
            </w:pPr>
            <w:r w:rsidRPr="00F961B0">
              <w:rPr>
                <w:rFonts w:eastAsia="Times New Roman" w:cs="Times New Roman"/>
              </w:rPr>
              <w:t>R</w:t>
            </w:r>
            <w:r w:rsidR="009B6060" w:rsidRPr="00F961B0">
              <w:rPr>
                <w:rFonts w:eastAsia="Times New Roman" w:cs="Times New Roman"/>
              </w:rPr>
              <w:t>ecogn</w:t>
            </w:r>
            <w:r w:rsidR="00174FFF" w:rsidRPr="00F961B0">
              <w:rPr>
                <w:rFonts w:eastAsia="Times New Roman" w:cs="Times New Roman"/>
              </w:rPr>
              <w:t>ize t</w:t>
            </w:r>
            <w:r w:rsidR="009B6060" w:rsidRPr="00F961B0">
              <w:rPr>
                <w:rFonts w:eastAsia="Times New Roman" w:cs="Times New Roman"/>
              </w:rPr>
              <w:t>he role and impact of all members of the agency team</w:t>
            </w:r>
          </w:p>
          <w:p w:rsidR="0000296D" w:rsidRPr="00F961B0" w:rsidRDefault="0000296D" w:rsidP="00062715">
            <w:pPr>
              <w:pStyle w:val="ListParagraph"/>
              <w:spacing w:before="0" w:after="0" w:line="240" w:lineRule="auto"/>
              <w:ind w:left="360"/>
              <w:rPr>
                <w:rFonts w:eastAsia="Times New Roman" w:cs="Times New Roman"/>
              </w:rPr>
            </w:pPr>
          </w:p>
          <w:p w:rsidR="009B6060" w:rsidRDefault="007D017D" w:rsidP="00062715">
            <w:pPr>
              <w:pStyle w:val="ListParagraph"/>
              <w:numPr>
                <w:ilvl w:val="0"/>
                <w:numId w:val="20"/>
              </w:numPr>
              <w:spacing w:before="0" w:after="0" w:line="240" w:lineRule="auto"/>
              <w:rPr>
                <w:rFonts w:eastAsia="Times New Roman" w:cs="Times New Roman"/>
              </w:rPr>
            </w:pPr>
            <w:r>
              <w:rPr>
                <w:rFonts w:eastAsia="Times New Roman" w:cs="Times New Roman"/>
              </w:rPr>
              <w:t xml:space="preserve">Continue to support </w:t>
            </w:r>
            <w:r w:rsidR="00F961B0" w:rsidRPr="00F961B0">
              <w:rPr>
                <w:rFonts w:eastAsia="Times New Roman" w:cs="Times New Roman"/>
              </w:rPr>
              <w:t>an Employee and Family Assistance Program to encourage self-care</w:t>
            </w:r>
            <w:r w:rsidR="009B6060" w:rsidRPr="00F961B0">
              <w:rPr>
                <w:rFonts w:eastAsia="Times New Roman" w:cs="Times New Roman"/>
              </w:rPr>
              <w:t xml:space="preserve"> </w:t>
            </w:r>
          </w:p>
          <w:p w:rsidR="0000296D" w:rsidRPr="00F961B0" w:rsidRDefault="0000296D" w:rsidP="00062715">
            <w:pPr>
              <w:pStyle w:val="ListParagraph"/>
              <w:spacing w:before="0" w:after="0" w:line="240" w:lineRule="auto"/>
              <w:ind w:left="360"/>
              <w:rPr>
                <w:rFonts w:eastAsia="Times New Roman" w:cs="Times New Roman"/>
              </w:rPr>
            </w:pPr>
          </w:p>
          <w:p w:rsidR="009B6060" w:rsidRPr="00DB698F" w:rsidRDefault="009B6060" w:rsidP="00062715">
            <w:pPr>
              <w:pStyle w:val="ListParagraph"/>
              <w:numPr>
                <w:ilvl w:val="0"/>
                <w:numId w:val="20"/>
              </w:numPr>
              <w:spacing w:before="0" w:after="0" w:line="240" w:lineRule="auto"/>
            </w:pPr>
            <w:r w:rsidRPr="00F961B0">
              <w:rPr>
                <w:rFonts w:eastAsia="Times New Roman" w:cs="Times New Roman"/>
              </w:rPr>
              <w:t>Enhance worker safety policies and support practice</w:t>
            </w:r>
            <w:r w:rsidR="00CF1952">
              <w:rPr>
                <w:rFonts w:eastAsia="Times New Roman" w:cs="Times New Roman"/>
              </w:rPr>
              <w:t xml:space="preserve">s that </w:t>
            </w:r>
            <w:r w:rsidRPr="00F961B0">
              <w:rPr>
                <w:rFonts w:eastAsia="Times New Roman" w:cs="Times New Roman"/>
              </w:rPr>
              <w:t>maximize staff safety</w:t>
            </w:r>
          </w:p>
          <w:p w:rsidR="00DB698F" w:rsidRPr="009B6060" w:rsidRDefault="00DB698F" w:rsidP="00DB698F">
            <w:pPr>
              <w:pStyle w:val="ListParagraph"/>
              <w:spacing w:before="0" w:after="0" w:line="240" w:lineRule="auto"/>
              <w:ind w:left="360"/>
            </w:pPr>
          </w:p>
        </w:tc>
      </w:tr>
      <w:tr w:rsidR="009B6060" w:rsidTr="00826D60">
        <w:tc>
          <w:tcPr>
            <w:tcW w:w="4646" w:type="dxa"/>
          </w:tcPr>
          <w:p w:rsidR="009B6060" w:rsidRPr="009B6060" w:rsidRDefault="009B6060" w:rsidP="0000296D">
            <w:pPr>
              <w:numPr>
                <w:ilvl w:val="0"/>
                <w:numId w:val="12"/>
              </w:numPr>
              <w:tabs>
                <w:tab w:val="left" w:pos="3600"/>
                <w:tab w:val="left" w:pos="6840"/>
              </w:tabs>
              <w:spacing w:before="0" w:after="0" w:line="240" w:lineRule="auto"/>
              <w:rPr>
                <w:rFonts w:cs="Times New Roman"/>
              </w:rPr>
            </w:pPr>
            <w:r w:rsidRPr="009B6060">
              <w:rPr>
                <w:rFonts w:cs="Times New Roman"/>
              </w:rPr>
              <w:t>Be a learning organization that encourages professional growth and innovation and promotes the use of evidence informed practice</w:t>
            </w:r>
          </w:p>
          <w:p w:rsidR="009B6060" w:rsidRPr="009B6060" w:rsidRDefault="009B6060" w:rsidP="00826D60"/>
        </w:tc>
        <w:tc>
          <w:tcPr>
            <w:tcW w:w="4646" w:type="dxa"/>
          </w:tcPr>
          <w:p w:rsidR="009B6060" w:rsidRDefault="009B6060" w:rsidP="00062715">
            <w:pPr>
              <w:pStyle w:val="ListParagraph"/>
              <w:numPr>
                <w:ilvl w:val="0"/>
                <w:numId w:val="21"/>
              </w:numPr>
              <w:spacing w:before="0" w:after="200" w:line="240" w:lineRule="auto"/>
              <w:rPr>
                <w:rFonts w:eastAsia="Times New Roman" w:cs="Times New Roman"/>
              </w:rPr>
            </w:pPr>
            <w:r w:rsidRPr="009B6060">
              <w:rPr>
                <w:rFonts w:eastAsia="Times New Roman" w:cs="Times New Roman"/>
              </w:rPr>
              <w:t xml:space="preserve">Continue </w:t>
            </w:r>
            <w:r w:rsidR="00F961B0">
              <w:rPr>
                <w:rFonts w:eastAsia="Times New Roman" w:cs="Times New Roman"/>
              </w:rPr>
              <w:t xml:space="preserve">the </w:t>
            </w:r>
            <w:r w:rsidRPr="009B6060">
              <w:rPr>
                <w:rFonts w:eastAsia="Times New Roman" w:cs="Times New Roman"/>
              </w:rPr>
              <w:t xml:space="preserve">use of </w:t>
            </w:r>
            <w:r w:rsidR="0000296D">
              <w:rPr>
                <w:rFonts w:eastAsia="Times New Roman" w:cs="Times New Roman"/>
              </w:rPr>
              <w:t xml:space="preserve">the </w:t>
            </w:r>
            <w:r w:rsidRPr="009B6060">
              <w:rPr>
                <w:rFonts w:eastAsia="Times New Roman" w:cs="Times New Roman"/>
              </w:rPr>
              <w:t>emergent learning model in promoting ongoing learning and evaluation</w:t>
            </w:r>
          </w:p>
          <w:p w:rsidR="001E2061" w:rsidRDefault="001E2061" w:rsidP="00062715">
            <w:pPr>
              <w:pStyle w:val="ListParagraph"/>
              <w:spacing w:before="0" w:after="200" w:line="240" w:lineRule="auto"/>
              <w:ind w:left="360"/>
              <w:rPr>
                <w:rFonts w:eastAsia="Times New Roman" w:cs="Times New Roman"/>
              </w:rPr>
            </w:pPr>
          </w:p>
          <w:p w:rsidR="0049039C" w:rsidRPr="009B6060" w:rsidRDefault="007D017D" w:rsidP="008C73F6">
            <w:pPr>
              <w:pStyle w:val="ListParagraph"/>
              <w:numPr>
                <w:ilvl w:val="0"/>
                <w:numId w:val="21"/>
              </w:numPr>
              <w:spacing w:before="0" w:after="200" w:line="240" w:lineRule="auto"/>
            </w:pPr>
            <w:r>
              <w:rPr>
                <w:rFonts w:eastAsia="Times New Roman" w:cs="Times New Roman"/>
              </w:rPr>
              <w:t>Support the work of the</w:t>
            </w:r>
            <w:r w:rsidR="00174FFF">
              <w:rPr>
                <w:rFonts w:eastAsia="Times New Roman" w:cs="Times New Roman"/>
              </w:rPr>
              <w:t xml:space="preserve"> Evidence Informed Innovation Committee </w:t>
            </w:r>
            <w:r>
              <w:rPr>
                <w:rFonts w:eastAsia="Times New Roman" w:cs="Times New Roman"/>
              </w:rPr>
              <w:t>in</w:t>
            </w:r>
            <w:r w:rsidR="00174FFF">
              <w:rPr>
                <w:rFonts w:eastAsia="Times New Roman" w:cs="Times New Roman"/>
              </w:rPr>
              <w:t xml:space="preserve"> assess</w:t>
            </w:r>
            <w:r>
              <w:rPr>
                <w:rFonts w:eastAsia="Times New Roman" w:cs="Times New Roman"/>
              </w:rPr>
              <w:t>ing</w:t>
            </w:r>
            <w:r w:rsidR="00174FFF">
              <w:rPr>
                <w:rFonts w:eastAsia="Times New Roman" w:cs="Times New Roman"/>
              </w:rPr>
              <w:t xml:space="preserve"> and evaluat</w:t>
            </w:r>
            <w:r>
              <w:rPr>
                <w:rFonts w:eastAsia="Times New Roman" w:cs="Times New Roman"/>
              </w:rPr>
              <w:t>ing</w:t>
            </w:r>
            <w:r w:rsidR="00174FFF">
              <w:rPr>
                <w:rFonts w:eastAsia="Times New Roman" w:cs="Times New Roman"/>
              </w:rPr>
              <w:t xml:space="preserve"> service </w:t>
            </w:r>
            <w:r w:rsidR="00F961B0">
              <w:rPr>
                <w:rFonts w:eastAsia="Times New Roman" w:cs="Times New Roman"/>
              </w:rPr>
              <w:t>initiatives</w:t>
            </w:r>
          </w:p>
        </w:tc>
      </w:tr>
    </w:tbl>
    <w:p w:rsidR="00D37323" w:rsidRDefault="00D37323" w:rsidP="008238FD"/>
    <w:p w:rsidR="00943EC5" w:rsidRPr="00133983" w:rsidRDefault="00A31A3D" w:rsidP="00A31A3D">
      <w:pPr>
        <w:pStyle w:val="Heading1"/>
        <w:rPr>
          <w:color w:val="00B0F0"/>
        </w:rPr>
      </w:pPr>
      <w:r w:rsidRPr="00133983">
        <w:rPr>
          <w:color w:val="00B0F0"/>
        </w:rPr>
        <w:lastRenderedPageBreak/>
        <w:t>Performance Measurement</w:t>
      </w:r>
    </w:p>
    <w:p w:rsidR="008903A9" w:rsidRDefault="008710B2" w:rsidP="00344962">
      <w:r>
        <w:t>Children’s Aid Societies understand the importance of measuring</w:t>
      </w:r>
      <w:r w:rsidR="008D6372">
        <w:t xml:space="preserve"> performance and outcomes for children and their families.</w:t>
      </w:r>
      <w:r>
        <w:t xml:space="preserve"> To this end we </w:t>
      </w:r>
      <w:r w:rsidR="00AC6912">
        <w:t xml:space="preserve">have </w:t>
      </w:r>
      <w:r>
        <w:t>develop</w:t>
      </w:r>
      <w:r w:rsidR="00AC6912">
        <w:t>ed</w:t>
      </w:r>
      <w:r>
        <w:t xml:space="preserve"> key Performance Indicators (PIs) </w:t>
      </w:r>
      <w:r w:rsidR="008903A9">
        <w:t xml:space="preserve">that best outline effectiveness in delivering the child protection mandate.  </w:t>
      </w:r>
    </w:p>
    <w:p w:rsidR="00A31A3D" w:rsidRDefault="008238FD" w:rsidP="00563468">
      <w:r>
        <w:t>There are currently five PIs that are reported:</w:t>
      </w:r>
    </w:p>
    <w:p w:rsidR="00A65662" w:rsidRDefault="00A65662" w:rsidP="0000296D">
      <w:pPr>
        <w:pStyle w:val="ListParagraph"/>
        <w:numPr>
          <w:ilvl w:val="0"/>
          <w:numId w:val="2"/>
        </w:numPr>
      </w:pPr>
      <w:r>
        <w:t>Recurrence of Child Protection Concerns in a Family after an Investigation</w:t>
      </w:r>
    </w:p>
    <w:p w:rsidR="00A65662" w:rsidRDefault="00A65662" w:rsidP="0000296D">
      <w:pPr>
        <w:pStyle w:val="ListParagraph"/>
        <w:numPr>
          <w:ilvl w:val="0"/>
          <w:numId w:val="2"/>
        </w:numPr>
      </w:pPr>
      <w:r>
        <w:t xml:space="preserve">Recurrence of Child Protection Concerns in a Family after Ongoing Services </w:t>
      </w:r>
      <w:proofErr w:type="gramStart"/>
      <w:r>
        <w:t>were</w:t>
      </w:r>
      <w:proofErr w:type="gramEnd"/>
      <w:r>
        <w:t xml:space="preserve"> Provided</w:t>
      </w:r>
    </w:p>
    <w:p w:rsidR="00A65662" w:rsidRDefault="00A65662" w:rsidP="0000296D">
      <w:pPr>
        <w:pStyle w:val="ListParagraph"/>
        <w:numPr>
          <w:ilvl w:val="0"/>
          <w:numId w:val="2"/>
        </w:numPr>
      </w:pPr>
      <w:r>
        <w:t>Days of care by placement type</w:t>
      </w:r>
    </w:p>
    <w:p w:rsidR="00A65662" w:rsidRDefault="00A65662" w:rsidP="0000296D">
      <w:pPr>
        <w:pStyle w:val="ListParagraph"/>
        <w:numPr>
          <w:ilvl w:val="0"/>
          <w:numId w:val="2"/>
        </w:numPr>
      </w:pPr>
      <w:r>
        <w:t>Time to permanency</w:t>
      </w:r>
    </w:p>
    <w:p w:rsidR="00A65662" w:rsidRDefault="00A65662" w:rsidP="0000296D">
      <w:pPr>
        <w:pStyle w:val="ListParagraph"/>
        <w:numPr>
          <w:ilvl w:val="0"/>
          <w:numId w:val="2"/>
        </w:numPr>
      </w:pPr>
      <w:r>
        <w:t>Quality of the caregiver-youth relationship</w:t>
      </w:r>
    </w:p>
    <w:p w:rsidR="004B6530" w:rsidRDefault="00A65662" w:rsidP="008A1707">
      <w:r>
        <w:t>Each of these</w:t>
      </w:r>
      <w:r w:rsidR="00B51159">
        <w:t xml:space="preserve"> </w:t>
      </w:r>
      <w:r>
        <w:t>Performance Indicators is described in more detail below.</w:t>
      </w:r>
      <w:r w:rsidR="008A1707">
        <w:t xml:space="preserve">  </w:t>
      </w:r>
    </w:p>
    <w:p w:rsidR="008A1707" w:rsidRPr="004B6530" w:rsidRDefault="008A1707" w:rsidP="008A1707">
      <w:pPr>
        <w:rPr>
          <w:b/>
          <w:color w:val="00B0F0"/>
        </w:rPr>
      </w:pPr>
      <w:r w:rsidRPr="004B6530">
        <w:rPr>
          <w:b/>
        </w:rPr>
        <w:t xml:space="preserve">Local data for each of the five performance indicators, can be viewed at: </w:t>
      </w:r>
      <w:hyperlink r:id="rId12" w:history="1">
        <w:r w:rsidRPr="004B6530">
          <w:rPr>
            <w:rStyle w:val="Hyperlink"/>
            <w:b/>
            <w:color w:val="00B0F0"/>
          </w:rPr>
          <w:t>www.facswaterloo.org/aboutus/child-welfare-data-and-results</w:t>
        </w:r>
      </w:hyperlink>
    </w:p>
    <w:p w:rsidR="00A65662" w:rsidRDefault="00E16298" w:rsidP="00140A5C">
      <w:pPr>
        <w:pStyle w:val="Heading2"/>
      </w:pPr>
      <w:r>
        <w:lastRenderedPageBreak/>
        <w:t xml:space="preserve">Safety Outcome - </w:t>
      </w:r>
      <w:r w:rsidR="00140A5C">
        <w:t>Recurrence of Child Protection Concerns in a Family after an Investigation</w:t>
      </w:r>
    </w:p>
    <w:p w:rsidR="00140A5C" w:rsidRDefault="00140A5C" w:rsidP="00140A5C">
      <w:r>
        <w:t>This PI measures the percentage of family cases closed at investigation in a fiscal year that were re-investigated within 12 months after closing and where the child protection concerns were verified.</w:t>
      </w:r>
    </w:p>
    <w:p w:rsidR="00140A5C" w:rsidRDefault="00140A5C" w:rsidP="00140A5C">
      <w:r>
        <w:t xml:space="preserve">This measure is important because closing a case following an investigation assessment suggests that there are no child protection concerns requiring ongoing Children’s Aid Society involvement.  However, at the conclusion of many investigations, workers make referrals to community-based services for families.  This measure is important for further </w:t>
      </w:r>
      <w:r w:rsidR="008C3950">
        <w:t>understanding of those families that return to a Children’s Aid Society with verified protection concerns and those that do not, both in terms of the nature and intensity of the services offered, and the risks, strengths and needs of children and families.  Increasing knowledge in these areas will inform decision-making and improve service delivery.</w:t>
      </w:r>
    </w:p>
    <w:p w:rsidR="008A1707" w:rsidRDefault="00952EEA" w:rsidP="008A1707">
      <w:r>
        <w:t>There is no agreed-upon benchmark for the “acceptable” level of recurrence.  While a lower level is generally desirable, the rate of recurrence is unlikely ever to be 0% for a variety of reasons, including the chronic nature of many of the struggles experienced by families commonly known to the child welfare system, e.g., poverty, substance abuse and mental health problems.  Furthermore, the reconnection of some families with the child welfare system can be in and of itself a protective factor to children whose families are connected with necessary supports.</w:t>
      </w:r>
    </w:p>
    <w:p w:rsidR="00A65662" w:rsidRDefault="00E16298" w:rsidP="00952EEA">
      <w:pPr>
        <w:pStyle w:val="Heading2"/>
      </w:pPr>
      <w:r>
        <w:lastRenderedPageBreak/>
        <w:t xml:space="preserve">Safety Outcome - </w:t>
      </w:r>
      <w:r w:rsidR="00952EEA">
        <w:t>Recurrence of Child Protection Concerns in a Family after Ongoing Protection Services Were Provided</w:t>
      </w:r>
    </w:p>
    <w:p w:rsidR="00952EEA" w:rsidRDefault="00952EEA" w:rsidP="00952EEA">
      <w:r>
        <w:t>This PI measures the percentage of family cases closed at ongoing protection in a fiscal year that were re-investigated within 12 months after closing where the child protection concerns were verified.</w:t>
      </w:r>
    </w:p>
    <w:p w:rsidR="00952EEA" w:rsidRDefault="00952EEA" w:rsidP="00952EEA">
      <w:r>
        <w:t xml:space="preserve">This measure is important because closing a case following ongoing services suggests that child protection concerns have been addressed and no longer require ongoing Children’s Aid Society involvement.  However, at the conclusion of Children’s Aid involvement, many families continue to receive supportive services from other agencies in the community.  This indicator measures the extent to which services have been successful in reducing risk to children over the </w:t>
      </w:r>
      <w:proofErr w:type="gramStart"/>
      <w:r>
        <w:t>12 month</w:t>
      </w:r>
      <w:proofErr w:type="gramEnd"/>
      <w:r>
        <w:t xml:space="preserve"> period following Children’s Aid Society involvement.  This measure is important for further understanding of those families that return to a Children’s Aid Society with verified protection concerns and those that do not, both in terms of the nature and intensity of the services offered, and the risks, strengths and needs of children and families.  Increasing knowledge in these areas supports improvements in decision-making and service delivery.</w:t>
      </w:r>
    </w:p>
    <w:p w:rsidR="008A1707" w:rsidRDefault="00952EEA" w:rsidP="008A1707">
      <w:r>
        <w:t xml:space="preserve">There is no agreed-upon benchmark for the “acceptable” level of recurrence.  While a lower level is generally desirable, the rate of recurrence is unlikely ever to be 0% for a variety of reasons, including the chronic nature of many of the struggles experienced by families commonly </w:t>
      </w:r>
      <w:r>
        <w:lastRenderedPageBreak/>
        <w:t>known</w:t>
      </w:r>
      <w:r w:rsidR="00D06DCD">
        <w:t xml:space="preserve"> to the child welfare system, e.g., poverty, substance abuse and mental health problems.  Furthermore, the reconnection of some families with the child welfare system can be in and of itself a protective factor to children whose families are connected with necessary supports.</w:t>
      </w:r>
    </w:p>
    <w:p w:rsidR="00A65662" w:rsidRDefault="00A75BDA" w:rsidP="00952EEA">
      <w:pPr>
        <w:pStyle w:val="Heading2"/>
      </w:pPr>
      <w:r>
        <w:t>Permanency Outcome –</w:t>
      </w:r>
      <w:r w:rsidR="00D06DCD">
        <w:t xml:space="preserve"> Days of Care, by Placement Type</w:t>
      </w:r>
    </w:p>
    <w:p w:rsidR="00A65662" w:rsidRDefault="00D06DCD" w:rsidP="00A65662">
      <w:r>
        <w:t xml:space="preserve">This PI measures, for all children admitted to the care of a Children’s Aid Society, the days of care provided in the fiscal year, by placement </w:t>
      </w:r>
      <w:r w:rsidR="002455D5">
        <w:t>type.</w:t>
      </w:r>
    </w:p>
    <w:p w:rsidR="00D06DCD" w:rsidRDefault="00E16298" w:rsidP="00A65662">
      <w:r>
        <w:t>We know that</w:t>
      </w:r>
      <w:r w:rsidR="00D06DCD">
        <w:t xml:space="preserve"> children placed in family-based care are more likely to achieve permanency when the exit care, i.e., be discharged to parents or family including adoptive families or legal custody arrangements, compared to children in group care.  Family-based care is the preferred placement setting for the majority of children in care.  Children placed in family settings have greater opportunities to form a connection with consistent caregivers and to experience the benefits associated with membership in a family.</w:t>
      </w:r>
    </w:p>
    <w:p w:rsidR="008A1707" w:rsidRDefault="00D06DCD" w:rsidP="008A1707">
      <w:r>
        <w:t>While a high rate of family-based care is desirable, selection of a placement setting should be first and foremost influenced by the needs of the child and the fit to the placement.  Given the mandate of a Children’s Aid Society, and the nature of the challenges experienced by some children and youth, it is likely that there will always be some young people in care who require specialized treatment, programs and structure associated with group care settings.</w:t>
      </w:r>
    </w:p>
    <w:p w:rsidR="004C3A82" w:rsidRDefault="004C3A82" w:rsidP="004C3A82">
      <w:pPr>
        <w:pStyle w:val="Heading2"/>
      </w:pPr>
      <w:r>
        <w:lastRenderedPageBreak/>
        <w:t>Permanency Outcome – Time to Permanency</w:t>
      </w:r>
    </w:p>
    <w:p w:rsidR="004C3A82" w:rsidRDefault="004C3A82" w:rsidP="004C3A82">
      <w:r>
        <w:t>This PI measures, for all children admitted to the care of a CAS during the fiscal year, the cumulative percentage discharged within a specific time period (i.e. 12 months, 24 months and 36 months since admission).</w:t>
      </w:r>
    </w:p>
    <w:p w:rsidR="004C3A82" w:rsidRDefault="00E16298" w:rsidP="004C3A82">
      <w:r>
        <w:t>One</w:t>
      </w:r>
      <w:r w:rsidR="004C3A82">
        <w:t xml:space="preserve"> of the mission-critical outcomes in child welfare is to facilitate permanent living arrangements for all children that are safe, stable and supportive of lifetime relationships.  The child welfare system in Ontario has multiple options through which permanency can be achieved (e.g., reunification with parents, </w:t>
      </w:r>
      <w:r w:rsidR="00E66AF4">
        <w:t>legal custody, and adoption).  Permanency planning is a significant focus for children in care, whose permanency status, both legally and psychologically, is uncertain.  The timing and nature of permanency may look different for every child depending on the child’s needs, family circumstances, court processes, and availability of community service providers.</w:t>
      </w:r>
    </w:p>
    <w:p w:rsidR="008A1707" w:rsidRDefault="00E66AF4" w:rsidP="008A1707">
      <w:r>
        <w:t>A key factor that influences time to permanency is child age at admission.  Children who enter care at a young age are more likely to be discharged to certain types of permanency (e.g., adoption) compared to older children.  Young children often achieve permanency within shorter timeframes, supported by legislation that limits the allowable cumulative time in short</w:t>
      </w:r>
      <w:r w:rsidR="00E16298">
        <w:t>-</w:t>
      </w:r>
      <w:r>
        <w:t>term care for children under 6 years of age compared to older children.  An additional factor that impacts time to permanency is the needs of the child, with more complex needs associated with longer timeframes to achieving permanency.</w:t>
      </w:r>
    </w:p>
    <w:p w:rsidR="00E66AF4" w:rsidRDefault="002C5871" w:rsidP="00D31DEE">
      <w:pPr>
        <w:pStyle w:val="Heading2"/>
      </w:pPr>
      <w:r>
        <w:lastRenderedPageBreak/>
        <w:t>Well-being Outcome -</w:t>
      </w:r>
      <w:r w:rsidR="00D31DEE">
        <w:t xml:space="preserve"> Quality of the Caregiver and Youth Relationship</w:t>
      </w:r>
    </w:p>
    <w:p w:rsidR="00D31DEE" w:rsidRDefault="00D31DEE" w:rsidP="00D31DEE">
      <w:r>
        <w:t>This PI measures the average score for children in care (aged 10-17) from a standard scale that measures a young person’s perception of the quality of the relationship with his or her primary caregiver.  The scale measures the following four items:</w:t>
      </w:r>
    </w:p>
    <w:p w:rsidR="00D31DEE" w:rsidRDefault="00D31DEE" w:rsidP="0000296D">
      <w:pPr>
        <w:pStyle w:val="ListParagraph"/>
        <w:numPr>
          <w:ilvl w:val="0"/>
          <w:numId w:val="3"/>
        </w:numPr>
      </w:pPr>
      <w:r>
        <w:t>How well do you feel he/she understands you?</w:t>
      </w:r>
    </w:p>
    <w:p w:rsidR="00D31DEE" w:rsidRDefault="00D31DEE" w:rsidP="0000296D">
      <w:pPr>
        <w:pStyle w:val="ListParagraph"/>
        <w:numPr>
          <w:ilvl w:val="0"/>
          <w:numId w:val="3"/>
        </w:numPr>
      </w:pPr>
      <w:r>
        <w:t>How much fairness do you receive from him/her?</w:t>
      </w:r>
    </w:p>
    <w:p w:rsidR="00D31DEE" w:rsidRDefault="00D31DEE" w:rsidP="0000296D">
      <w:pPr>
        <w:pStyle w:val="ListParagraph"/>
        <w:numPr>
          <w:ilvl w:val="0"/>
          <w:numId w:val="3"/>
        </w:numPr>
      </w:pPr>
      <w:r>
        <w:t>How much affection do you receive from him/her?</w:t>
      </w:r>
    </w:p>
    <w:p w:rsidR="00D31DEE" w:rsidRDefault="00D31DEE" w:rsidP="0000296D">
      <w:pPr>
        <w:pStyle w:val="ListParagraph"/>
        <w:numPr>
          <w:ilvl w:val="0"/>
          <w:numId w:val="3"/>
        </w:numPr>
      </w:pPr>
      <w:r>
        <w:t>Overall, how would you describe your relationship with him/her?</w:t>
      </w:r>
    </w:p>
    <w:p w:rsidR="00D31DEE" w:rsidRDefault="00D31DEE" w:rsidP="00D31DEE">
      <w:r>
        <w:t>Each of these four items is rated from 0 to 2, yielding a composite score with a minimum of 0 and a maximum of 8.</w:t>
      </w:r>
    </w:p>
    <w:p w:rsidR="00D31DEE" w:rsidRDefault="00D31DEE" w:rsidP="00D31DEE">
      <w:r>
        <w:t xml:space="preserve">This </w:t>
      </w:r>
      <w:r w:rsidR="00E16298">
        <w:t xml:space="preserve">indicator </w:t>
      </w:r>
      <w:r>
        <w:t xml:space="preserve">is important because the quality of the caregiver-youth relationship is at the heart of service to children in care.  Research demonstrates that a young person’s perception of the quality of his/her relationship with his/her caregiver predicts the following: current happiness; self-esteem; positive </w:t>
      </w:r>
      <w:proofErr w:type="spellStart"/>
      <w:r>
        <w:t>behaviour</w:t>
      </w:r>
      <w:proofErr w:type="spellEnd"/>
      <w:r>
        <w:t>; and placement satisfaction.  As scores increase on the quality of the caregiver relationship scale, so do positive outcomes across each of these areas (e.g. higher self-esteem).</w:t>
      </w:r>
    </w:p>
    <w:p w:rsidR="00D31DEE" w:rsidRDefault="00D31DEE" w:rsidP="00D31DEE">
      <w:r>
        <w:t>The key influencing factor is the young person’s perception that the caregiver understands, treats fairly, shows affection towards, and has a close relationship with him/her.</w:t>
      </w:r>
      <w:r w:rsidR="00540FA6">
        <w:t xml:space="preserve"> </w:t>
      </w:r>
    </w:p>
    <w:p w:rsidR="004E2E8A" w:rsidRPr="00133983" w:rsidRDefault="004E2E8A" w:rsidP="004E2E8A">
      <w:pPr>
        <w:pStyle w:val="Heading1"/>
        <w:rPr>
          <w:color w:val="00B0F0"/>
        </w:rPr>
      </w:pPr>
      <w:r w:rsidRPr="00133983">
        <w:rPr>
          <w:color w:val="00B0F0"/>
        </w:rPr>
        <w:lastRenderedPageBreak/>
        <w:t>Contact Information</w:t>
      </w:r>
    </w:p>
    <w:p w:rsidR="000D4E27" w:rsidRPr="00133983" w:rsidRDefault="000D4E27" w:rsidP="000D4E27">
      <w:pPr>
        <w:spacing w:after="33" w:line="245" w:lineRule="exact"/>
        <w:textAlignment w:val="baseline"/>
        <w:rPr>
          <w:rFonts w:ascii="Verdana" w:eastAsia="Verdana" w:hAnsi="Verdana"/>
          <w:color w:val="000000"/>
          <w:spacing w:val="-4"/>
        </w:rPr>
      </w:pPr>
      <w:r w:rsidRPr="00133983">
        <w:rPr>
          <w:rFonts w:ascii="Verdana" w:eastAsia="Verdana" w:hAnsi="Verdana"/>
          <w:color w:val="000000"/>
          <w:spacing w:val="-4"/>
        </w:rPr>
        <w:t>Family and Children’s Services of the Waterloo Region</w:t>
      </w:r>
    </w:p>
    <w:p w:rsidR="000D4E27" w:rsidRPr="00133983" w:rsidRDefault="000D4E27" w:rsidP="000D4E27">
      <w:pPr>
        <w:spacing w:after="33" w:line="245" w:lineRule="exact"/>
        <w:textAlignment w:val="baseline"/>
        <w:rPr>
          <w:rFonts w:ascii="Verdana" w:eastAsia="Verdana" w:hAnsi="Verdana"/>
          <w:color w:val="000000"/>
          <w:spacing w:val="-4"/>
        </w:rPr>
      </w:pPr>
      <w:r w:rsidRPr="00133983">
        <w:rPr>
          <w:rFonts w:ascii="Verdana" w:eastAsia="Verdana" w:hAnsi="Verdana"/>
          <w:color w:val="000000"/>
          <w:spacing w:val="-4"/>
        </w:rPr>
        <w:t xml:space="preserve">200 </w:t>
      </w:r>
      <w:proofErr w:type="spellStart"/>
      <w:r w:rsidRPr="00133983">
        <w:rPr>
          <w:rFonts w:ascii="Verdana" w:eastAsia="Verdana" w:hAnsi="Verdana"/>
          <w:color w:val="000000"/>
          <w:spacing w:val="-4"/>
        </w:rPr>
        <w:t>Ardelt</w:t>
      </w:r>
      <w:proofErr w:type="spellEnd"/>
      <w:r w:rsidRPr="00133983">
        <w:rPr>
          <w:rFonts w:ascii="Verdana" w:eastAsia="Verdana" w:hAnsi="Verdana"/>
          <w:color w:val="000000"/>
          <w:spacing w:val="-4"/>
        </w:rPr>
        <w:t xml:space="preserve"> Avenue,</w:t>
      </w:r>
    </w:p>
    <w:p w:rsidR="000D4E27" w:rsidRPr="00133983" w:rsidRDefault="000D4E27" w:rsidP="000D4E27">
      <w:pPr>
        <w:spacing w:after="33" w:line="245" w:lineRule="exact"/>
        <w:textAlignment w:val="baseline"/>
        <w:rPr>
          <w:rFonts w:ascii="Verdana" w:eastAsia="Verdana" w:hAnsi="Verdana"/>
          <w:color w:val="000000"/>
          <w:spacing w:val="-4"/>
        </w:rPr>
      </w:pPr>
      <w:r w:rsidRPr="00133983">
        <w:rPr>
          <w:rFonts w:ascii="Verdana" w:eastAsia="Verdana" w:hAnsi="Verdana"/>
          <w:color w:val="000000"/>
          <w:spacing w:val="-4"/>
        </w:rPr>
        <w:t>Kitchener, ON N2C 2L9</w:t>
      </w:r>
    </w:p>
    <w:p w:rsidR="004E2E8A" w:rsidRPr="004E2E8A" w:rsidRDefault="000D4E27" w:rsidP="00133983">
      <w:pPr>
        <w:spacing w:after="33" w:line="245" w:lineRule="exact"/>
        <w:textAlignment w:val="baseline"/>
        <w:rPr>
          <w:b/>
        </w:rPr>
      </w:pPr>
      <w:r w:rsidRPr="00133983">
        <w:rPr>
          <w:rFonts w:ascii="Verdana" w:eastAsia="Verdana" w:hAnsi="Verdana"/>
          <w:color w:val="000000"/>
          <w:spacing w:val="-4"/>
        </w:rPr>
        <w:t>519-576-0540</w:t>
      </w:r>
    </w:p>
    <w:sectPr w:rsidR="004E2E8A" w:rsidRPr="004E2E8A" w:rsidSect="00327A2C">
      <w:headerReference w:type="default" r:id="rId13"/>
      <w:footerReference w:type="even" r:id="rId14"/>
      <w:footerReference w:type="default" r:id="rId15"/>
      <w:footerReference w:type="first" r:id="rId16"/>
      <w:pgSz w:w="12240" w:h="15840"/>
      <w:pgMar w:top="1022" w:right="1138" w:bottom="1872" w:left="1800" w:header="706" w:footer="43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BF" w:rsidRDefault="00F052BF" w:rsidP="003A1244">
      <w:r>
        <w:separator/>
      </w:r>
    </w:p>
    <w:p w:rsidR="00F052BF" w:rsidRDefault="00F052BF"/>
  </w:endnote>
  <w:endnote w:type="continuationSeparator" w:id="0">
    <w:p w:rsidR="00F052BF" w:rsidRDefault="00F052BF" w:rsidP="003A1244">
      <w:r>
        <w:continuationSeparator/>
      </w:r>
    </w:p>
    <w:p w:rsidR="00F052BF" w:rsidRDefault="00F05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PMincho">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3"/>
      <w:gridCol w:w="9149"/>
    </w:tblGrid>
    <w:tr w:rsidR="0072473C" w:rsidRPr="0025191F" w:rsidTr="00EE755D">
      <w:tc>
        <w:tcPr>
          <w:tcW w:w="201" w:type="pct"/>
          <w:tcBorders>
            <w:bottom w:val="nil"/>
            <w:right w:val="single" w:sz="4" w:space="0" w:color="BFBFBF"/>
          </w:tcBorders>
        </w:tcPr>
        <w:p w:rsidR="0072473C" w:rsidRPr="007B7F10" w:rsidRDefault="0072473C" w:rsidP="00EE755D">
          <w:pPr>
            <w:jc w:val="right"/>
            <w:rPr>
              <w:rFonts w:ascii="Calibri" w:eastAsia="Cambria" w:hAnsi="Calibri"/>
              <w:b/>
              <w:color w:val="838383" w:themeColor="text1" w:themeTint="A6"/>
            </w:rPr>
          </w:pPr>
          <w:r w:rsidRPr="007B7F10">
            <w:rPr>
              <w:rFonts w:ascii="Calibri" w:hAnsi="Calibri"/>
              <w:b/>
              <w:color w:val="838383" w:themeColor="text1" w:themeTint="A6"/>
            </w:rPr>
            <w:fldChar w:fldCharType="begin"/>
          </w:r>
          <w:r w:rsidRPr="007B7F10">
            <w:rPr>
              <w:rFonts w:ascii="Calibri" w:hAnsi="Calibri"/>
              <w:b/>
              <w:color w:val="838383" w:themeColor="text1" w:themeTint="A6"/>
            </w:rPr>
            <w:instrText xml:space="preserve"> PAGE   \* MERGEFORMAT </w:instrText>
          </w:r>
          <w:r w:rsidRPr="007B7F10">
            <w:rPr>
              <w:rFonts w:ascii="Calibri" w:hAnsi="Calibri"/>
              <w:b/>
              <w:color w:val="838383" w:themeColor="text1" w:themeTint="A6"/>
            </w:rPr>
            <w:fldChar w:fldCharType="separate"/>
          </w:r>
          <w:r>
            <w:rPr>
              <w:rFonts w:ascii="Calibri" w:hAnsi="Calibri"/>
              <w:b/>
              <w:noProof/>
              <w:color w:val="838383" w:themeColor="text1" w:themeTint="A6"/>
            </w:rPr>
            <w:t>2</w:t>
          </w:r>
          <w:r w:rsidRPr="007B7F10">
            <w:rPr>
              <w:rFonts w:ascii="Calibri" w:hAnsi="Calibri"/>
              <w:b/>
              <w:color w:val="838383" w:themeColor="text1" w:themeTint="A6"/>
            </w:rPr>
            <w:fldChar w:fldCharType="end"/>
          </w:r>
        </w:p>
      </w:tc>
      <w:tc>
        <w:tcPr>
          <w:tcW w:w="4799" w:type="pct"/>
          <w:tcBorders>
            <w:left w:val="single" w:sz="4" w:space="0" w:color="BFBFBF"/>
            <w:bottom w:val="nil"/>
          </w:tcBorders>
        </w:tcPr>
        <w:p w:rsidR="0072473C" w:rsidRPr="0025191F" w:rsidRDefault="00DC3D33" w:rsidP="00EE755D">
          <w:pPr>
            <w:rPr>
              <w:rFonts w:ascii="Calibri" w:eastAsia="Cambria" w:hAnsi="Calibri"/>
              <w:color w:val="838383" w:themeColor="text1" w:themeTint="A6"/>
            </w:rPr>
          </w:pPr>
          <w:sdt>
            <w:sdtPr>
              <w:rPr>
                <w:rFonts w:ascii="Calibri" w:hAnsi="Calibri"/>
                <w:b/>
                <w:bCs/>
                <w:caps/>
                <w:color w:val="838383" w:themeColor="text1" w:themeTint="A6"/>
              </w:rPr>
              <w:alias w:val="Title"/>
              <w:id w:val="-391424605"/>
              <w:showingPlcHdr/>
              <w:dataBinding w:prefixMappings="xmlns:ns0='http://schemas.openxmlformats.org/package/2006/metadata/core-properties' xmlns:ns1='http://purl.org/dc/elements/1.1/'" w:xpath="/ns0:coreProperties[1]/ns1:title[1]" w:storeItemID="{6C3C8BC8-F283-45AE-878A-BAB7291924A1}"/>
              <w:text/>
            </w:sdtPr>
            <w:sdtEndPr/>
            <w:sdtContent>
              <w:r w:rsidR="0072473C" w:rsidRPr="0025191F">
                <w:rPr>
                  <w:rFonts w:ascii="Calibri" w:hAnsi="Calibri"/>
                  <w:b/>
                  <w:bCs/>
                  <w:caps/>
                  <w:color w:val="838383" w:themeColor="text1" w:themeTint="A6"/>
                </w:rPr>
                <w:t>Type the document title</w:t>
              </w:r>
            </w:sdtContent>
          </w:sdt>
        </w:p>
      </w:tc>
    </w:tr>
  </w:tbl>
  <w:p w:rsidR="0072473C" w:rsidRDefault="00724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10" w:rsidRDefault="007B2300" w:rsidP="007B2300">
    <w:pPr>
      <w:pStyle w:val="Footer"/>
      <w:tabs>
        <w:tab w:val="left" w:pos="2760"/>
        <w:tab w:val="right" w:pos="9302"/>
      </w:tabs>
    </w:pPr>
    <w:r>
      <w:tab/>
    </w:r>
    <w:r>
      <w:tab/>
    </w:r>
    <w:r>
      <w:tab/>
    </w:r>
    <w:r>
      <w:rPr>
        <w:noProof/>
      </w:rPr>
      <w:drawing>
        <wp:inline distT="0" distB="0" distL="0" distR="0" wp14:anchorId="161A42E7" wp14:editId="08854388">
          <wp:extent cx="2741334" cy="9525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1660" cy="952613"/>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3C" w:rsidRPr="007A63BB" w:rsidRDefault="009E4D7C" w:rsidP="009E4D7C">
    <w:pPr>
      <w:pStyle w:val="Footer"/>
      <w:jc w:val="right"/>
    </w:pPr>
    <w:r>
      <w:fldChar w:fldCharType="begin"/>
    </w:r>
    <w:r>
      <w:instrText xml:space="preserve"> PAGE   \* MERGEFORMAT </w:instrText>
    </w:r>
    <w:r>
      <w:fldChar w:fldCharType="separate"/>
    </w:r>
    <w:r w:rsidR="00DC3D33" w:rsidRPr="00DC3D33">
      <w:rPr>
        <w:b/>
        <w:bCs/>
        <w:noProof/>
      </w:rPr>
      <w:t>1</w:t>
    </w:r>
    <w:r>
      <w:rPr>
        <w:b/>
        <w:bCs/>
        <w:noProof/>
      </w:rPr>
      <w:fldChar w:fldCharType="end"/>
    </w:r>
    <w:r>
      <w:rPr>
        <w:b/>
        <w:bCs/>
      </w:rPr>
      <w:t xml:space="preserve"> </w:t>
    </w:r>
    <w:r>
      <w:t>|</w:t>
    </w:r>
    <w:r>
      <w:rPr>
        <w:b/>
        <w:bCs/>
      </w:rPr>
      <w:t xml:space="preserve"> </w:t>
    </w:r>
    <w:r>
      <w:rPr>
        <w:color w:val="6F6F6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BF" w:rsidRDefault="00F052BF">
      <w:r>
        <w:separator/>
      </w:r>
    </w:p>
  </w:footnote>
  <w:footnote w:type="continuationSeparator" w:id="0">
    <w:p w:rsidR="00F052BF" w:rsidRDefault="00F052BF" w:rsidP="003A1244">
      <w:r>
        <w:continuationSeparator/>
      </w:r>
    </w:p>
    <w:p w:rsidR="00F052BF" w:rsidRDefault="00F052BF"/>
  </w:footnote>
  <w:footnote w:type="continuationNotice" w:id="1">
    <w:p w:rsidR="00F052BF" w:rsidRDefault="00F052BF">
      <w:pPr>
        <w:spacing w:before="0" w:after="0" w:line="240" w:lineRule="auto"/>
      </w:pPr>
    </w:p>
  </w:footnote>
  <w:footnote w:id="2">
    <w:p w:rsidR="00AF79DD" w:rsidRPr="00FE2559" w:rsidRDefault="00AF79DD" w:rsidP="00AF79DD">
      <w:pPr>
        <w:pStyle w:val="FootnoteText"/>
        <w:spacing w:line="240" w:lineRule="auto"/>
        <w:ind w:left="144" w:hanging="144"/>
        <w:contextualSpacing/>
        <w:rPr>
          <w:sz w:val="18"/>
          <w:szCs w:val="18"/>
        </w:rPr>
      </w:pPr>
      <w:r w:rsidRPr="00FE2559">
        <w:rPr>
          <w:rStyle w:val="FootnoteReference"/>
          <w:rFonts w:cs="Arial"/>
          <w:szCs w:val="18"/>
        </w:rPr>
        <w:footnoteRef/>
      </w:r>
      <w:r w:rsidRPr="00FE2559">
        <w:rPr>
          <w:sz w:val="18"/>
          <w:szCs w:val="18"/>
        </w:rPr>
        <w:t xml:space="preserve"> </w:t>
      </w:r>
      <w:r w:rsidRPr="00BB067E">
        <w:rPr>
          <w:sz w:val="18"/>
        </w:rPr>
        <w:t xml:space="preserve">Child and Family Services </w:t>
      </w:r>
      <w:r w:rsidRPr="00BB067E">
        <w:rPr>
          <w:sz w:val="18"/>
          <w:szCs w:val="18"/>
        </w:rPr>
        <w:t xml:space="preserve">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73C" w:rsidRPr="007014E0" w:rsidRDefault="0072473C" w:rsidP="00220D31">
    <w:pPr>
      <w:pStyle w:val="Footer"/>
      <w:rPr>
        <w:rFonts w:cstheme="majorHAnsi"/>
        <w:color w:val="707070" w:themeColor="background1" w:themeShade="80"/>
        <w:sz w:val="16"/>
        <w:szCs w:val="16"/>
      </w:rPr>
    </w:pPr>
    <w:r w:rsidRPr="00187B01">
      <w:rPr>
        <w:rStyle w:val="PageNumber"/>
        <w:rFonts w:cstheme="majorHAnsi"/>
        <w:b/>
        <w:color w:val="707070" w:themeColor="background1" w:themeShade="80"/>
        <w:sz w:val="16"/>
        <w:szCs w:val="16"/>
      </w:rPr>
      <w:fldChar w:fldCharType="begin"/>
    </w:r>
    <w:r w:rsidRPr="00187B01">
      <w:rPr>
        <w:rStyle w:val="PageNumber"/>
        <w:rFonts w:cstheme="majorHAnsi"/>
        <w:b/>
        <w:color w:val="707070" w:themeColor="background1" w:themeShade="80"/>
        <w:sz w:val="16"/>
        <w:szCs w:val="16"/>
      </w:rPr>
      <w:instrText xml:space="preserve"> PAGE </w:instrText>
    </w:r>
    <w:r w:rsidRPr="00187B01">
      <w:rPr>
        <w:rStyle w:val="PageNumber"/>
        <w:rFonts w:cstheme="majorHAnsi"/>
        <w:b/>
        <w:color w:val="707070" w:themeColor="background1" w:themeShade="80"/>
        <w:sz w:val="16"/>
        <w:szCs w:val="16"/>
      </w:rPr>
      <w:fldChar w:fldCharType="separate"/>
    </w:r>
    <w:r w:rsidR="00DC3D33">
      <w:rPr>
        <w:rStyle w:val="PageNumber"/>
        <w:rFonts w:cstheme="majorHAnsi"/>
        <w:b/>
        <w:noProof/>
        <w:color w:val="707070" w:themeColor="background1" w:themeShade="80"/>
        <w:sz w:val="16"/>
        <w:szCs w:val="16"/>
      </w:rPr>
      <w:t>11</w:t>
    </w:r>
    <w:r w:rsidRPr="00187B01">
      <w:rPr>
        <w:rStyle w:val="PageNumber"/>
        <w:rFonts w:cstheme="majorHAnsi"/>
        <w:b/>
        <w:color w:val="707070" w:themeColor="background1" w:themeShade="80"/>
        <w:sz w:val="16"/>
        <w:szCs w:val="16"/>
      </w:rPr>
      <w:fldChar w:fldCharType="end"/>
    </w:r>
    <w:r w:rsidRPr="00187B01">
      <w:rPr>
        <w:rStyle w:val="PageNumber"/>
        <w:rFonts w:cstheme="majorHAnsi"/>
        <w:color w:val="707070" w:themeColor="background1" w:themeShade="80"/>
        <w:sz w:val="16"/>
        <w:szCs w:val="16"/>
      </w:rPr>
      <w:t xml:space="preserve"> | </w:t>
    </w:r>
    <w:r w:rsidR="00D074F6">
      <w:rPr>
        <w:rStyle w:val="PageNumber"/>
        <w:rFonts w:cstheme="majorHAnsi"/>
        <w:color w:val="707070" w:themeColor="background1" w:themeShade="80"/>
        <w:sz w:val="16"/>
        <w:szCs w:val="16"/>
      </w:rPr>
      <w:t xml:space="preserve">Business Plan – </w:t>
    </w:r>
    <w:r w:rsidR="007B2300">
      <w:rPr>
        <w:rStyle w:val="PageNumber"/>
        <w:rFonts w:cstheme="majorHAnsi"/>
        <w:color w:val="707070" w:themeColor="background1" w:themeShade="80"/>
        <w:sz w:val="16"/>
        <w:szCs w:val="16"/>
      </w:rPr>
      <w:t xml:space="preserve">FACS Waterloo </w:t>
    </w:r>
    <w:r w:rsidR="00D074F6">
      <w:rPr>
        <w:rStyle w:val="PageNumber"/>
        <w:rFonts w:cstheme="majorHAnsi"/>
        <w:color w:val="707070" w:themeColor="background1" w:themeShade="80"/>
        <w:sz w:val="16"/>
        <w:szCs w:val="16"/>
      </w:rPr>
      <w:t>2016-17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F1F"/>
    <w:multiLevelType w:val="hybridMultilevel"/>
    <w:tmpl w:val="23582C7E"/>
    <w:lvl w:ilvl="0" w:tplc="0409000F">
      <w:start w:val="1"/>
      <w:numFmt w:val="decimal"/>
      <w:lvlText w:val="%1."/>
      <w:lvlJc w:val="left"/>
      <w:pPr>
        <w:ind w:left="360" w:hanging="360"/>
      </w:pPr>
      <w:rPr>
        <w:rFonts w:hint="default"/>
      </w:rPr>
    </w:lvl>
    <w:lvl w:ilvl="1" w:tplc="465A3FBA">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4B0333"/>
    <w:multiLevelType w:val="hybridMultilevel"/>
    <w:tmpl w:val="E97A8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262FCE"/>
    <w:multiLevelType w:val="hybridMultilevel"/>
    <w:tmpl w:val="B16E375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6859"/>
    <w:multiLevelType w:val="hybridMultilevel"/>
    <w:tmpl w:val="A0346BC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473350"/>
    <w:multiLevelType w:val="hybridMultilevel"/>
    <w:tmpl w:val="7F66F24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7C3F3D"/>
    <w:multiLevelType w:val="hybridMultilevel"/>
    <w:tmpl w:val="A77A689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072FE4"/>
    <w:multiLevelType w:val="hybridMultilevel"/>
    <w:tmpl w:val="D966BD3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D339E"/>
    <w:multiLevelType w:val="hybridMultilevel"/>
    <w:tmpl w:val="D638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06792"/>
    <w:multiLevelType w:val="multilevel"/>
    <w:tmpl w:val="4ACAB6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2672FE"/>
    <w:multiLevelType w:val="hybridMultilevel"/>
    <w:tmpl w:val="B08CA2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282115"/>
    <w:multiLevelType w:val="hybridMultilevel"/>
    <w:tmpl w:val="D6C01858"/>
    <w:lvl w:ilvl="0" w:tplc="0409000F">
      <w:start w:val="1"/>
      <w:numFmt w:val="decimal"/>
      <w:lvlText w:val="%1."/>
      <w:lvlJc w:val="left"/>
      <w:pPr>
        <w:ind w:left="360" w:hanging="360"/>
      </w:pPr>
      <w:rPr>
        <w:rFonts w:hint="default"/>
      </w:rPr>
    </w:lvl>
    <w:lvl w:ilvl="1" w:tplc="465A3FBA">
      <w:start w:val="1"/>
      <w:numFmt w:val="decimal"/>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419948E6"/>
    <w:multiLevelType w:val="hybridMultilevel"/>
    <w:tmpl w:val="A7F29C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B05399"/>
    <w:multiLevelType w:val="hybridMultilevel"/>
    <w:tmpl w:val="5FC6ACC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BAF4A48"/>
    <w:multiLevelType w:val="hybridMultilevel"/>
    <w:tmpl w:val="E95C3366"/>
    <w:lvl w:ilvl="0" w:tplc="F290F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190D9F"/>
    <w:multiLevelType w:val="hybridMultilevel"/>
    <w:tmpl w:val="869C7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1F43F8"/>
    <w:multiLevelType w:val="hybridMultilevel"/>
    <w:tmpl w:val="CD5A7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6D39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E2403A"/>
    <w:multiLevelType w:val="hybridMultilevel"/>
    <w:tmpl w:val="83363E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51107"/>
    <w:multiLevelType w:val="hybridMultilevel"/>
    <w:tmpl w:val="F2DA46F6"/>
    <w:lvl w:ilvl="0" w:tplc="B2641E40">
      <w:start w:val="1"/>
      <w:numFmt w:val="bullet"/>
      <w:pStyle w:val="Bullets"/>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A6386"/>
    <w:multiLevelType w:val="hybridMultilevel"/>
    <w:tmpl w:val="AABED4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21756C1"/>
    <w:multiLevelType w:val="multilevel"/>
    <w:tmpl w:val="C60C753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690D6018"/>
    <w:multiLevelType w:val="hybridMultilevel"/>
    <w:tmpl w:val="6D62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7B54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B02664"/>
    <w:multiLevelType w:val="hybridMultilevel"/>
    <w:tmpl w:val="104EB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9A33C7"/>
    <w:multiLevelType w:val="hybridMultilevel"/>
    <w:tmpl w:val="537C22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CB67AB"/>
    <w:multiLevelType w:val="hybridMultilevel"/>
    <w:tmpl w:val="A69C17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19"/>
  </w:num>
  <w:num w:numId="4">
    <w:abstractNumId w:val="21"/>
  </w:num>
  <w:num w:numId="5">
    <w:abstractNumId w:val="7"/>
  </w:num>
  <w:num w:numId="6">
    <w:abstractNumId w:val="25"/>
  </w:num>
  <w:num w:numId="7">
    <w:abstractNumId w:val="5"/>
  </w:num>
  <w:num w:numId="8">
    <w:abstractNumId w:val="16"/>
  </w:num>
  <w:num w:numId="9">
    <w:abstractNumId w:val="22"/>
  </w:num>
  <w:num w:numId="10">
    <w:abstractNumId w:val="8"/>
  </w:num>
  <w:num w:numId="11">
    <w:abstractNumId w:val="9"/>
  </w:num>
  <w:num w:numId="12">
    <w:abstractNumId w:val="12"/>
  </w:num>
  <w:num w:numId="13">
    <w:abstractNumId w:val="3"/>
  </w:num>
  <w:num w:numId="14">
    <w:abstractNumId w:val="10"/>
  </w:num>
  <w:num w:numId="15">
    <w:abstractNumId w:val="4"/>
  </w:num>
  <w:num w:numId="16">
    <w:abstractNumId w:val="24"/>
  </w:num>
  <w:num w:numId="17">
    <w:abstractNumId w:val="20"/>
  </w:num>
  <w:num w:numId="18">
    <w:abstractNumId w:val="13"/>
  </w:num>
  <w:num w:numId="19">
    <w:abstractNumId w:val="0"/>
  </w:num>
  <w:num w:numId="20">
    <w:abstractNumId w:val="11"/>
  </w:num>
  <w:num w:numId="21">
    <w:abstractNumId w:val="6"/>
  </w:num>
  <w:num w:numId="22">
    <w:abstractNumId w:val="2"/>
  </w:num>
  <w:num w:numId="23">
    <w:abstractNumId w:val="23"/>
  </w:num>
  <w:num w:numId="24">
    <w:abstractNumId w:val="14"/>
  </w:num>
  <w:num w:numId="25">
    <w:abstractNumId w:val="17"/>
  </w:num>
  <w:num w:numId="2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 w:id="1"/>
  </w:footnotePr>
  <w:endnotePr>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91"/>
    <w:rsid w:val="0000296D"/>
    <w:rsid w:val="00005655"/>
    <w:rsid w:val="00007671"/>
    <w:rsid w:val="00012E3A"/>
    <w:rsid w:val="000217E7"/>
    <w:rsid w:val="00031CE3"/>
    <w:rsid w:val="00037624"/>
    <w:rsid w:val="000450AA"/>
    <w:rsid w:val="000532A7"/>
    <w:rsid w:val="00055017"/>
    <w:rsid w:val="00062715"/>
    <w:rsid w:val="000628BF"/>
    <w:rsid w:val="00070A8E"/>
    <w:rsid w:val="000762DC"/>
    <w:rsid w:val="00097336"/>
    <w:rsid w:val="000B6914"/>
    <w:rsid w:val="000C005B"/>
    <w:rsid w:val="000D3661"/>
    <w:rsid w:val="000D4E27"/>
    <w:rsid w:val="000D78DD"/>
    <w:rsid w:val="000E4068"/>
    <w:rsid w:val="000F39DA"/>
    <w:rsid w:val="000F4227"/>
    <w:rsid w:val="000F5B86"/>
    <w:rsid w:val="000F6E7E"/>
    <w:rsid w:val="001059BA"/>
    <w:rsid w:val="00105B96"/>
    <w:rsid w:val="001106B0"/>
    <w:rsid w:val="00110B42"/>
    <w:rsid w:val="001142B8"/>
    <w:rsid w:val="0011614E"/>
    <w:rsid w:val="00126B1C"/>
    <w:rsid w:val="00131B65"/>
    <w:rsid w:val="00133983"/>
    <w:rsid w:val="00140A5C"/>
    <w:rsid w:val="001637C9"/>
    <w:rsid w:val="00174FFF"/>
    <w:rsid w:val="00184DED"/>
    <w:rsid w:val="00187B01"/>
    <w:rsid w:val="001905D9"/>
    <w:rsid w:val="001A4FC7"/>
    <w:rsid w:val="001B4ECB"/>
    <w:rsid w:val="001B7864"/>
    <w:rsid w:val="001E2061"/>
    <w:rsid w:val="001E213F"/>
    <w:rsid w:val="001E364D"/>
    <w:rsid w:val="001F01C8"/>
    <w:rsid w:val="001F4B32"/>
    <w:rsid w:val="001F71E9"/>
    <w:rsid w:val="002070AE"/>
    <w:rsid w:val="00213991"/>
    <w:rsid w:val="00215499"/>
    <w:rsid w:val="00220D31"/>
    <w:rsid w:val="00220E69"/>
    <w:rsid w:val="00230C70"/>
    <w:rsid w:val="002455D5"/>
    <w:rsid w:val="002458EE"/>
    <w:rsid w:val="0025165E"/>
    <w:rsid w:val="0025269E"/>
    <w:rsid w:val="00266CC5"/>
    <w:rsid w:val="002713AA"/>
    <w:rsid w:val="002814F1"/>
    <w:rsid w:val="002A1171"/>
    <w:rsid w:val="002A3840"/>
    <w:rsid w:val="002B16EE"/>
    <w:rsid w:val="002B5E14"/>
    <w:rsid w:val="002B637C"/>
    <w:rsid w:val="002C3930"/>
    <w:rsid w:val="002C5871"/>
    <w:rsid w:val="002C6028"/>
    <w:rsid w:val="002C6B96"/>
    <w:rsid w:val="002C7E8D"/>
    <w:rsid w:val="002D1048"/>
    <w:rsid w:val="002D1077"/>
    <w:rsid w:val="002D1178"/>
    <w:rsid w:val="002D1258"/>
    <w:rsid w:val="002E5759"/>
    <w:rsid w:val="00301CE0"/>
    <w:rsid w:val="0030398F"/>
    <w:rsid w:val="00307D76"/>
    <w:rsid w:val="003260A6"/>
    <w:rsid w:val="0032696B"/>
    <w:rsid w:val="00327548"/>
    <w:rsid w:val="00327A2C"/>
    <w:rsid w:val="00336727"/>
    <w:rsid w:val="00344962"/>
    <w:rsid w:val="00344ED7"/>
    <w:rsid w:val="003455E8"/>
    <w:rsid w:val="00345D77"/>
    <w:rsid w:val="003505D4"/>
    <w:rsid w:val="00351FE7"/>
    <w:rsid w:val="00354EA7"/>
    <w:rsid w:val="00357708"/>
    <w:rsid w:val="00360B74"/>
    <w:rsid w:val="00361C8D"/>
    <w:rsid w:val="003668CD"/>
    <w:rsid w:val="00375155"/>
    <w:rsid w:val="00377CE1"/>
    <w:rsid w:val="003866AC"/>
    <w:rsid w:val="003906A2"/>
    <w:rsid w:val="00397439"/>
    <w:rsid w:val="003A07DC"/>
    <w:rsid w:val="003A1244"/>
    <w:rsid w:val="003A69AF"/>
    <w:rsid w:val="003B09D4"/>
    <w:rsid w:val="003B4DB1"/>
    <w:rsid w:val="003C0AA7"/>
    <w:rsid w:val="003C554B"/>
    <w:rsid w:val="003D2505"/>
    <w:rsid w:val="003D27B5"/>
    <w:rsid w:val="003D2B2C"/>
    <w:rsid w:val="003D52FE"/>
    <w:rsid w:val="003E0122"/>
    <w:rsid w:val="003E4B46"/>
    <w:rsid w:val="003F0B6F"/>
    <w:rsid w:val="0040335F"/>
    <w:rsid w:val="0042354C"/>
    <w:rsid w:val="0043028C"/>
    <w:rsid w:val="0043367A"/>
    <w:rsid w:val="00443399"/>
    <w:rsid w:val="00444190"/>
    <w:rsid w:val="004446C9"/>
    <w:rsid w:val="00460BF4"/>
    <w:rsid w:val="0046262A"/>
    <w:rsid w:val="00462BE0"/>
    <w:rsid w:val="004712EF"/>
    <w:rsid w:val="00471C46"/>
    <w:rsid w:val="0047710F"/>
    <w:rsid w:val="0049039C"/>
    <w:rsid w:val="004969B8"/>
    <w:rsid w:val="004A0AE3"/>
    <w:rsid w:val="004A1FFB"/>
    <w:rsid w:val="004A2EC9"/>
    <w:rsid w:val="004A360E"/>
    <w:rsid w:val="004B6530"/>
    <w:rsid w:val="004C0A60"/>
    <w:rsid w:val="004C3A82"/>
    <w:rsid w:val="004D0517"/>
    <w:rsid w:val="004D343E"/>
    <w:rsid w:val="004D38E5"/>
    <w:rsid w:val="004E2E8A"/>
    <w:rsid w:val="004F41D4"/>
    <w:rsid w:val="004F6796"/>
    <w:rsid w:val="004F67C0"/>
    <w:rsid w:val="00501901"/>
    <w:rsid w:val="005079E2"/>
    <w:rsid w:val="005159F8"/>
    <w:rsid w:val="00530367"/>
    <w:rsid w:val="00536810"/>
    <w:rsid w:val="00540FA6"/>
    <w:rsid w:val="005424F0"/>
    <w:rsid w:val="005429CC"/>
    <w:rsid w:val="005449D4"/>
    <w:rsid w:val="00546B3C"/>
    <w:rsid w:val="00563412"/>
    <w:rsid w:val="00563468"/>
    <w:rsid w:val="00571AA8"/>
    <w:rsid w:val="005819F9"/>
    <w:rsid w:val="005846DC"/>
    <w:rsid w:val="00591F37"/>
    <w:rsid w:val="005946FE"/>
    <w:rsid w:val="005B6B2A"/>
    <w:rsid w:val="005D746E"/>
    <w:rsid w:val="005E4876"/>
    <w:rsid w:val="005E666A"/>
    <w:rsid w:val="005F69FB"/>
    <w:rsid w:val="005F7D52"/>
    <w:rsid w:val="0060519A"/>
    <w:rsid w:val="00610D17"/>
    <w:rsid w:val="00616C60"/>
    <w:rsid w:val="00617187"/>
    <w:rsid w:val="00631A9B"/>
    <w:rsid w:val="00636D95"/>
    <w:rsid w:val="0065438C"/>
    <w:rsid w:val="00654685"/>
    <w:rsid w:val="00655AAC"/>
    <w:rsid w:val="0065668F"/>
    <w:rsid w:val="006661EB"/>
    <w:rsid w:val="00667F35"/>
    <w:rsid w:val="006721C8"/>
    <w:rsid w:val="00672B73"/>
    <w:rsid w:val="00690E48"/>
    <w:rsid w:val="00690F46"/>
    <w:rsid w:val="006927EF"/>
    <w:rsid w:val="006A0410"/>
    <w:rsid w:val="006B0D05"/>
    <w:rsid w:val="006B7D0D"/>
    <w:rsid w:val="006C2244"/>
    <w:rsid w:val="006C52B3"/>
    <w:rsid w:val="006D08A3"/>
    <w:rsid w:val="006E0FB1"/>
    <w:rsid w:val="006E3434"/>
    <w:rsid w:val="006F5C94"/>
    <w:rsid w:val="006F733F"/>
    <w:rsid w:val="007014E0"/>
    <w:rsid w:val="00701621"/>
    <w:rsid w:val="0072473C"/>
    <w:rsid w:val="00746A19"/>
    <w:rsid w:val="0075145B"/>
    <w:rsid w:val="0077271A"/>
    <w:rsid w:val="00773B2C"/>
    <w:rsid w:val="007769C4"/>
    <w:rsid w:val="00780F70"/>
    <w:rsid w:val="00785B2C"/>
    <w:rsid w:val="00787422"/>
    <w:rsid w:val="007911FD"/>
    <w:rsid w:val="0079216A"/>
    <w:rsid w:val="007960D5"/>
    <w:rsid w:val="007A63BB"/>
    <w:rsid w:val="007B2300"/>
    <w:rsid w:val="007C5630"/>
    <w:rsid w:val="007D017D"/>
    <w:rsid w:val="007D2F79"/>
    <w:rsid w:val="007D32C3"/>
    <w:rsid w:val="007D72A6"/>
    <w:rsid w:val="007E04DF"/>
    <w:rsid w:val="007E3068"/>
    <w:rsid w:val="007F2524"/>
    <w:rsid w:val="00800C16"/>
    <w:rsid w:val="0080325E"/>
    <w:rsid w:val="008039E6"/>
    <w:rsid w:val="0081759E"/>
    <w:rsid w:val="008238FD"/>
    <w:rsid w:val="00837CF0"/>
    <w:rsid w:val="00850527"/>
    <w:rsid w:val="008616D5"/>
    <w:rsid w:val="00863AD8"/>
    <w:rsid w:val="00865C02"/>
    <w:rsid w:val="0087031D"/>
    <w:rsid w:val="008709A1"/>
    <w:rsid w:val="008710B2"/>
    <w:rsid w:val="00876230"/>
    <w:rsid w:val="0087656D"/>
    <w:rsid w:val="00880388"/>
    <w:rsid w:val="008903A9"/>
    <w:rsid w:val="00894A04"/>
    <w:rsid w:val="008A1707"/>
    <w:rsid w:val="008A55E0"/>
    <w:rsid w:val="008A6D4F"/>
    <w:rsid w:val="008B3CD0"/>
    <w:rsid w:val="008C3950"/>
    <w:rsid w:val="008C63F1"/>
    <w:rsid w:val="008C73F6"/>
    <w:rsid w:val="008D6372"/>
    <w:rsid w:val="008F3C0E"/>
    <w:rsid w:val="008F5458"/>
    <w:rsid w:val="00903FFC"/>
    <w:rsid w:val="00913D98"/>
    <w:rsid w:val="00922F78"/>
    <w:rsid w:val="009242DB"/>
    <w:rsid w:val="009271E8"/>
    <w:rsid w:val="009313F2"/>
    <w:rsid w:val="00931B4F"/>
    <w:rsid w:val="00943EC5"/>
    <w:rsid w:val="0095063B"/>
    <w:rsid w:val="00952EEA"/>
    <w:rsid w:val="0098296B"/>
    <w:rsid w:val="009A009B"/>
    <w:rsid w:val="009B6060"/>
    <w:rsid w:val="009C6507"/>
    <w:rsid w:val="009D6B80"/>
    <w:rsid w:val="009E360A"/>
    <w:rsid w:val="009E4D7C"/>
    <w:rsid w:val="009F41E5"/>
    <w:rsid w:val="009F4B0F"/>
    <w:rsid w:val="00A0196F"/>
    <w:rsid w:val="00A0430E"/>
    <w:rsid w:val="00A300A9"/>
    <w:rsid w:val="00A308D4"/>
    <w:rsid w:val="00A31A3D"/>
    <w:rsid w:val="00A31C83"/>
    <w:rsid w:val="00A32091"/>
    <w:rsid w:val="00A41C4C"/>
    <w:rsid w:val="00A47D27"/>
    <w:rsid w:val="00A612D7"/>
    <w:rsid w:val="00A62CEF"/>
    <w:rsid w:val="00A65662"/>
    <w:rsid w:val="00A74AC0"/>
    <w:rsid w:val="00A75BDA"/>
    <w:rsid w:val="00A84832"/>
    <w:rsid w:val="00A85CE6"/>
    <w:rsid w:val="00A9095A"/>
    <w:rsid w:val="00A97238"/>
    <w:rsid w:val="00AA2D60"/>
    <w:rsid w:val="00AA32DC"/>
    <w:rsid w:val="00AB44FE"/>
    <w:rsid w:val="00AC3E19"/>
    <w:rsid w:val="00AC6912"/>
    <w:rsid w:val="00AC7E94"/>
    <w:rsid w:val="00AD039B"/>
    <w:rsid w:val="00AD33C3"/>
    <w:rsid w:val="00AD4EC7"/>
    <w:rsid w:val="00AD6E6D"/>
    <w:rsid w:val="00AF6B95"/>
    <w:rsid w:val="00AF79DD"/>
    <w:rsid w:val="00B00A19"/>
    <w:rsid w:val="00B03450"/>
    <w:rsid w:val="00B039E3"/>
    <w:rsid w:val="00B13663"/>
    <w:rsid w:val="00B16CAC"/>
    <w:rsid w:val="00B269B1"/>
    <w:rsid w:val="00B376DA"/>
    <w:rsid w:val="00B40122"/>
    <w:rsid w:val="00B42213"/>
    <w:rsid w:val="00B51159"/>
    <w:rsid w:val="00B551A0"/>
    <w:rsid w:val="00B6191E"/>
    <w:rsid w:val="00B669C5"/>
    <w:rsid w:val="00B66E5F"/>
    <w:rsid w:val="00B67252"/>
    <w:rsid w:val="00B74126"/>
    <w:rsid w:val="00B8186F"/>
    <w:rsid w:val="00B81ED7"/>
    <w:rsid w:val="00B84F47"/>
    <w:rsid w:val="00B94CC3"/>
    <w:rsid w:val="00BB79D6"/>
    <w:rsid w:val="00BC65E8"/>
    <w:rsid w:val="00BE3F0E"/>
    <w:rsid w:val="00BF3CC4"/>
    <w:rsid w:val="00BF3DD4"/>
    <w:rsid w:val="00BF44A8"/>
    <w:rsid w:val="00BF4862"/>
    <w:rsid w:val="00BF48BC"/>
    <w:rsid w:val="00BF61B4"/>
    <w:rsid w:val="00C05EF7"/>
    <w:rsid w:val="00C1415E"/>
    <w:rsid w:val="00C175BD"/>
    <w:rsid w:val="00C17D4F"/>
    <w:rsid w:val="00C36299"/>
    <w:rsid w:val="00C428B8"/>
    <w:rsid w:val="00C45BB9"/>
    <w:rsid w:val="00C460D4"/>
    <w:rsid w:val="00C73887"/>
    <w:rsid w:val="00C8080C"/>
    <w:rsid w:val="00C841FD"/>
    <w:rsid w:val="00C90143"/>
    <w:rsid w:val="00C9432B"/>
    <w:rsid w:val="00C9525D"/>
    <w:rsid w:val="00C9732F"/>
    <w:rsid w:val="00CA5FCB"/>
    <w:rsid w:val="00CB5AE8"/>
    <w:rsid w:val="00CB6CE9"/>
    <w:rsid w:val="00CB6DF1"/>
    <w:rsid w:val="00CD3547"/>
    <w:rsid w:val="00CD5FCC"/>
    <w:rsid w:val="00CF1952"/>
    <w:rsid w:val="00D04E9F"/>
    <w:rsid w:val="00D06DCD"/>
    <w:rsid w:val="00D074F6"/>
    <w:rsid w:val="00D10733"/>
    <w:rsid w:val="00D11B52"/>
    <w:rsid w:val="00D11D48"/>
    <w:rsid w:val="00D23007"/>
    <w:rsid w:val="00D31DEE"/>
    <w:rsid w:val="00D356AA"/>
    <w:rsid w:val="00D37323"/>
    <w:rsid w:val="00D54B87"/>
    <w:rsid w:val="00D5508C"/>
    <w:rsid w:val="00D61952"/>
    <w:rsid w:val="00D850BB"/>
    <w:rsid w:val="00D96AF5"/>
    <w:rsid w:val="00DA19F8"/>
    <w:rsid w:val="00DB18D7"/>
    <w:rsid w:val="00DB698F"/>
    <w:rsid w:val="00DC3D33"/>
    <w:rsid w:val="00DC4E8D"/>
    <w:rsid w:val="00DC7A73"/>
    <w:rsid w:val="00DD099A"/>
    <w:rsid w:val="00DD3411"/>
    <w:rsid w:val="00DD4EFD"/>
    <w:rsid w:val="00E01DD4"/>
    <w:rsid w:val="00E16298"/>
    <w:rsid w:val="00E17A12"/>
    <w:rsid w:val="00E2046D"/>
    <w:rsid w:val="00E301BA"/>
    <w:rsid w:val="00E35D74"/>
    <w:rsid w:val="00E372FA"/>
    <w:rsid w:val="00E37D34"/>
    <w:rsid w:val="00E40865"/>
    <w:rsid w:val="00E41AAF"/>
    <w:rsid w:val="00E55AB6"/>
    <w:rsid w:val="00E61C22"/>
    <w:rsid w:val="00E64E94"/>
    <w:rsid w:val="00E65A53"/>
    <w:rsid w:val="00E66AF4"/>
    <w:rsid w:val="00E7126B"/>
    <w:rsid w:val="00E7389E"/>
    <w:rsid w:val="00E73EE3"/>
    <w:rsid w:val="00E75B7F"/>
    <w:rsid w:val="00E77171"/>
    <w:rsid w:val="00E80265"/>
    <w:rsid w:val="00E9611B"/>
    <w:rsid w:val="00EA5EB3"/>
    <w:rsid w:val="00EB320C"/>
    <w:rsid w:val="00EB53C0"/>
    <w:rsid w:val="00EC406C"/>
    <w:rsid w:val="00ED77B9"/>
    <w:rsid w:val="00EE2A0B"/>
    <w:rsid w:val="00EE755D"/>
    <w:rsid w:val="00F016D7"/>
    <w:rsid w:val="00F052BF"/>
    <w:rsid w:val="00F12AFA"/>
    <w:rsid w:val="00F26892"/>
    <w:rsid w:val="00F540B5"/>
    <w:rsid w:val="00F5749C"/>
    <w:rsid w:val="00F62D4C"/>
    <w:rsid w:val="00F70B28"/>
    <w:rsid w:val="00F71821"/>
    <w:rsid w:val="00F72061"/>
    <w:rsid w:val="00F72602"/>
    <w:rsid w:val="00F74215"/>
    <w:rsid w:val="00F87D06"/>
    <w:rsid w:val="00F94019"/>
    <w:rsid w:val="00F961B0"/>
    <w:rsid w:val="00FB126C"/>
    <w:rsid w:val="00FB65C4"/>
    <w:rsid w:val="00FC4E7D"/>
    <w:rsid w:val="00FD5A1E"/>
    <w:rsid w:val="00FE1EBF"/>
    <w:rsid w:val="00FE527E"/>
    <w:rsid w:val="00FE783A"/>
    <w:rsid w:val="00FF02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8256F0"/>
  <w15:docId w15:val="{092620EB-67CA-4A26-A669-A7261166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AC7E94"/>
    <w:pPr>
      <w:spacing w:before="120" w:after="160" w:line="312" w:lineRule="auto"/>
    </w:pPr>
    <w:rPr>
      <w:sz w:val="20"/>
      <w:szCs w:val="20"/>
    </w:rPr>
  </w:style>
  <w:style w:type="paragraph" w:styleId="Heading1">
    <w:name w:val="heading 1"/>
    <w:basedOn w:val="Normal"/>
    <w:next w:val="Normal"/>
    <w:link w:val="Heading1Char"/>
    <w:uiPriority w:val="9"/>
    <w:qFormat/>
    <w:rsid w:val="00E40865"/>
    <w:pPr>
      <w:keepNext/>
      <w:keepLines/>
      <w:spacing w:before="360" w:line="264" w:lineRule="auto"/>
      <w:outlineLvl w:val="0"/>
    </w:pPr>
    <w:rPr>
      <w:rFonts w:asciiTheme="majorHAnsi" w:eastAsiaTheme="majorEastAsia" w:hAnsiTheme="majorHAnsi" w:cstheme="majorBidi"/>
      <w:color w:val="4CB050" w:themeColor="accent1"/>
      <w:sz w:val="32"/>
      <w:szCs w:val="32"/>
    </w:rPr>
  </w:style>
  <w:style w:type="paragraph" w:styleId="Heading2">
    <w:name w:val="heading 2"/>
    <w:basedOn w:val="Normal"/>
    <w:next w:val="Normal"/>
    <w:link w:val="Heading2Char"/>
    <w:uiPriority w:val="9"/>
    <w:unhideWhenUsed/>
    <w:qFormat/>
    <w:rsid w:val="000217E7"/>
    <w:pPr>
      <w:keepNext/>
      <w:keepLines/>
      <w:spacing w:before="280" w:after="60" w:line="288" w:lineRule="auto"/>
      <w:outlineLvl w:val="1"/>
    </w:pPr>
    <w:rPr>
      <w:rFonts w:asciiTheme="majorHAnsi" w:eastAsiaTheme="majorEastAsia" w:hAnsiTheme="majorHAnsi" w:cstheme="majorBidi"/>
      <w:b/>
      <w:bCs/>
      <w:color w:val="212121" w:themeColor="text1" w:themeShade="80"/>
      <w:sz w:val="26"/>
      <w:szCs w:val="26"/>
    </w:rPr>
  </w:style>
  <w:style w:type="paragraph" w:styleId="Heading3">
    <w:name w:val="heading 3"/>
    <w:basedOn w:val="Normal"/>
    <w:next w:val="Normal"/>
    <w:link w:val="Heading3Char"/>
    <w:uiPriority w:val="9"/>
    <w:unhideWhenUsed/>
    <w:qFormat/>
    <w:rsid w:val="00F26892"/>
    <w:pPr>
      <w:keepNext/>
      <w:keepLines/>
      <w:spacing w:before="240" w:after="60" w:line="240" w:lineRule="auto"/>
      <w:outlineLvl w:val="2"/>
    </w:pPr>
    <w:rPr>
      <w:rFonts w:asciiTheme="majorHAnsi" w:eastAsiaTheme="majorEastAsia" w:hAnsiTheme="majorHAnsi" w:cstheme="majorBidi"/>
      <w:bCs/>
      <w:color w:val="212121" w:themeColor="text1" w:themeShade="80"/>
      <w:sz w:val="24"/>
    </w:rPr>
  </w:style>
  <w:style w:type="paragraph" w:styleId="Heading4">
    <w:name w:val="heading 4"/>
    <w:basedOn w:val="Normal"/>
    <w:next w:val="Normal"/>
    <w:link w:val="Heading4Char"/>
    <w:uiPriority w:val="9"/>
    <w:unhideWhenUsed/>
    <w:qFormat/>
    <w:rsid w:val="00F74215"/>
    <w:pPr>
      <w:keepNext/>
      <w:keepLines/>
      <w:spacing w:before="200" w:after="0"/>
      <w:outlineLvl w:val="3"/>
    </w:pPr>
    <w:rPr>
      <w:rFonts w:asciiTheme="majorHAnsi" w:eastAsiaTheme="majorEastAsia" w:hAnsiTheme="majorHAnsi" w:cstheme="majorBidi"/>
      <w:b/>
      <w:bCs/>
      <w:i/>
      <w:iCs/>
      <w:color w:val="4CB05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B269B1"/>
    <w:pPr>
      <w:spacing w:before="240" w:after="0" w:line="288" w:lineRule="auto"/>
    </w:pPr>
    <w:rPr>
      <w:rFonts w:asciiTheme="majorHAnsi" w:eastAsiaTheme="majorEastAsia" w:hAnsiTheme="majorHAnsi" w:cstheme="majorBidi"/>
      <w:color w:val="4CB050" w:themeColor="accent1"/>
      <w:kern w:val="28"/>
      <w:sz w:val="36"/>
      <w:szCs w:val="40"/>
    </w:rPr>
  </w:style>
  <w:style w:type="character" w:customStyle="1" w:styleId="TitleChar">
    <w:name w:val="Title Char"/>
    <w:basedOn w:val="DefaultParagraphFont"/>
    <w:link w:val="Title"/>
    <w:uiPriority w:val="10"/>
    <w:rsid w:val="00B269B1"/>
    <w:rPr>
      <w:rFonts w:asciiTheme="majorHAnsi" w:eastAsiaTheme="majorEastAsia" w:hAnsiTheme="majorHAnsi" w:cstheme="majorBidi"/>
      <w:color w:val="4CB050" w:themeColor="accent1"/>
      <w:kern w:val="28"/>
      <w:sz w:val="36"/>
      <w:szCs w:val="40"/>
    </w:rPr>
  </w:style>
  <w:style w:type="paragraph" w:styleId="TOC1">
    <w:name w:val="toc 1"/>
    <w:basedOn w:val="Normal"/>
    <w:next w:val="Normal"/>
    <w:autoRedefine/>
    <w:uiPriority w:val="39"/>
    <w:unhideWhenUsed/>
    <w:rsid w:val="0098296B"/>
    <w:pPr>
      <w:spacing w:before="240" w:after="80"/>
    </w:pPr>
    <w:rPr>
      <w:rFonts w:asciiTheme="majorHAnsi" w:hAnsiTheme="majorHAnsi" w:cstheme="majorHAnsi"/>
      <w:color w:val="4CB050" w:themeColor="accent1"/>
      <w:sz w:val="24"/>
    </w:rPr>
  </w:style>
  <w:style w:type="paragraph" w:styleId="TOC2">
    <w:name w:val="toc 2"/>
    <w:basedOn w:val="Normal"/>
    <w:next w:val="Normal"/>
    <w:autoRedefine/>
    <w:uiPriority w:val="39"/>
    <w:unhideWhenUsed/>
    <w:rsid w:val="000532A7"/>
    <w:pPr>
      <w:spacing w:before="0" w:after="80"/>
      <w:ind w:left="170"/>
    </w:pPr>
    <w:rPr>
      <w:rFonts w:asciiTheme="majorHAnsi" w:hAnsiTheme="majorHAnsi"/>
      <w:sz w:val="22"/>
      <w:szCs w:val="22"/>
    </w:rPr>
  </w:style>
  <w:style w:type="paragraph" w:styleId="TOC3">
    <w:name w:val="toc 3"/>
    <w:basedOn w:val="Normal"/>
    <w:next w:val="Normal"/>
    <w:autoRedefine/>
    <w:uiPriority w:val="39"/>
    <w:unhideWhenUsed/>
    <w:rsid w:val="003D27B5"/>
    <w:pPr>
      <w:spacing w:before="0" w:after="80"/>
      <w:ind w:left="198"/>
    </w:pPr>
    <w:rPr>
      <w:i/>
      <w:sz w:val="22"/>
      <w:szCs w:val="22"/>
    </w:rPr>
  </w:style>
  <w:style w:type="paragraph" w:styleId="TOC4">
    <w:name w:val="toc 4"/>
    <w:basedOn w:val="Normal"/>
    <w:next w:val="Normal"/>
    <w:autoRedefine/>
    <w:uiPriority w:val="39"/>
    <w:unhideWhenUsed/>
    <w:rsid w:val="003D27B5"/>
    <w:pPr>
      <w:pBdr>
        <w:between w:val="double" w:sz="6" w:space="0" w:color="auto"/>
      </w:pBdr>
      <w:spacing w:before="0" w:after="80"/>
      <w:ind w:left="403"/>
    </w:pPr>
  </w:style>
  <w:style w:type="paragraph" w:styleId="TOC5">
    <w:name w:val="toc 5"/>
    <w:basedOn w:val="Normal"/>
    <w:next w:val="Normal"/>
    <w:autoRedefine/>
    <w:uiPriority w:val="39"/>
    <w:unhideWhenUsed/>
    <w:rsid w:val="007D32C3"/>
    <w:pPr>
      <w:pBdr>
        <w:between w:val="double" w:sz="6" w:space="0" w:color="auto"/>
      </w:pBdr>
      <w:spacing w:after="0"/>
      <w:ind w:left="600"/>
    </w:pPr>
  </w:style>
  <w:style w:type="paragraph" w:styleId="TOC6">
    <w:name w:val="toc 6"/>
    <w:basedOn w:val="Normal"/>
    <w:next w:val="Normal"/>
    <w:autoRedefine/>
    <w:uiPriority w:val="39"/>
    <w:unhideWhenUsed/>
    <w:rsid w:val="007D32C3"/>
    <w:pPr>
      <w:pBdr>
        <w:between w:val="double" w:sz="6" w:space="0" w:color="auto"/>
      </w:pBdr>
      <w:spacing w:after="0"/>
      <w:ind w:left="800"/>
    </w:pPr>
  </w:style>
  <w:style w:type="paragraph" w:styleId="TOC7">
    <w:name w:val="toc 7"/>
    <w:basedOn w:val="Normal"/>
    <w:next w:val="Normal"/>
    <w:autoRedefine/>
    <w:uiPriority w:val="39"/>
    <w:unhideWhenUsed/>
    <w:rsid w:val="007D32C3"/>
    <w:pPr>
      <w:pBdr>
        <w:between w:val="double" w:sz="6" w:space="0" w:color="auto"/>
      </w:pBdr>
      <w:spacing w:after="0"/>
      <w:ind w:left="1000"/>
    </w:pPr>
  </w:style>
  <w:style w:type="paragraph" w:styleId="TOC8">
    <w:name w:val="toc 8"/>
    <w:basedOn w:val="Normal"/>
    <w:next w:val="Normal"/>
    <w:autoRedefine/>
    <w:uiPriority w:val="39"/>
    <w:unhideWhenUsed/>
    <w:rsid w:val="007D32C3"/>
    <w:pPr>
      <w:pBdr>
        <w:between w:val="double" w:sz="6" w:space="0" w:color="auto"/>
      </w:pBdr>
      <w:spacing w:after="0"/>
      <w:ind w:left="1200"/>
    </w:pPr>
  </w:style>
  <w:style w:type="paragraph" w:styleId="TOC9">
    <w:name w:val="toc 9"/>
    <w:basedOn w:val="Normal"/>
    <w:next w:val="Normal"/>
    <w:autoRedefine/>
    <w:uiPriority w:val="39"/>
    <w:unhideWhenUsed/>
    <w:rsid w:val="007D32C3"/>
    <w:pPr>
      <w:pBdr>
        <w:between w:val="double" w:sz="6" w:space="0" w:color="auto"/>
      </w:pBdr>
      <w:spacing w:after="0"/>
      <w:ind w:left="1400"/>
    </w:pPr>
  </w:style>
  <w:style w:type="paragraph" w:styleId="Header">
    <w:name w:val="header"/>
    <w:basedOn w:val="Normal"/>
    <w:link w:val="HeaderChar"/>
    <w:uiPriority w:val="99"/>
    <w:unhideWhenUsed/>
    <w:rsid w:val="003A1244"/>
    <w:pPr>
      <w:tabs>
        <w:tab w:val="center" w:pos="4320"/>
        <w:tab w:val="right" w:pos="8640"/>
      </w:tabs>
    </w:pPr>
  </w:style>
  <w:style w:type="character" w:customStyle="1" w:styleId="HeaderChar">
    <w:name w:val="Header Char"/>
    <w:basedOn w:val="DefaultParagraphFont"/>
    <w:link w:val="Header"/>
    <w:uiPriority w:val="99"/>
    <w:rsid w:val="003A1244"/>
  </w:style>
  <w:style w:type="paragraph" w:styleId="Footer">
    <w:name w:val="footer"/>
    <w:basedOn w:val="Normal"/>
    <w:link w:val="FooterChar"/>
    <w:uiPriority w:val="99"/>
    <w:unhideWhenUsed/>
    <w:rsid w:val="00E35D74"/>
    <w:pPr>
      <w:tabs>
        <w:tab w:val="center" w:pos="4320"/>
        <w:tab w:val="right" w:pos="8640"/>
      </w:tabs>
    </w:pPr>
    <w:rPr>
      <w:rFonts w:asciiTheme="majorHAnsi" w:hAnsiTheme="majorHAnsi"/>
      <w:sz w:val="18"/>
    </w:rPr>
  </w:style>
  <w:style w:type="character" w:customStyle="1" w:styleId="FooterChar">
    <w:name w:val="Footer Char"/>
    <w:basedOn w:val="DefaultParagraphFont"/>
    <w:link w:val="Footer"/>
    <w:uiPriority w:val="99"/>
    <w:rsid w:val="00E35D74"/>
    <w:rPr>
      <w:rFonts w:asciiTheme="majorHAnsi" w:hAnsiTheme="majorHAnsi"/>
      <w:sz w:val="18"/>
    </w:rPr>
  </w:style>
  <w:style w:type="character" w:customStyle="1" w:styleId="Heading1Char">
    <w:name w:val="Heading 1 Char"/>
    <w:basedOn w:val="DefaultParagraphFont"/>
    <w:link w:val="Heading1"/>
    <w:uiPriority w:val="9"/>
    <w:rsid w:val="00E40865"/>
    <w:rPr>
      <w:rFonts w:asciiTheme="majorHAnsi" w:eastAsiaTheme="majorEastAsia" w:hAnsiTheme="majorHAnsi" w:cstheme="majorBidi"/>
      <w:color w:val="4CB050" w:themeColor="accent1"/>
      <w:sz w:val="32"/>
      <w:szCs w:val="32"/>
    </w:rPr>
  </w:style>
  <w:style w:type="character" w:styleId="PageNumber">
    <w:name w:val="page number"/>
    <w:basedOn w:val="DefaultParagraphFont"/>
    <w:uiPriority w:val="99"/>
    <w:semiHidden/>
    <w:unhideWhenUsed/>
    <w:rsid w:val="00307D76"/>
  </w:style>
  <w:style w:type="paragraph" w:styleId="BalloonText">
    <w:name w:val="Balloon Text"/>
    <w:basedOn w:val="Normal"/>
    <w:link w:val="BalloonTextChar"/>
    <w:uiPriority w:val="99"/>
    <w:semiHidden/>
    <w:unhideWhenUsed/>
    <w:rsid w:val="008A55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5E0"/>
    <w:rPr>
      <w:rFonts w:ascii="Lucida Grande" w:hAnsi="Lucida Grande" w:cs="Lucida Grande"/>
      <w:sz w:val="18"/>
      <w:szCs w:val="18"/>
    </w:rPr>
  </w:style>
  <w:style w:type="character" w:customStyle="1" w:styleId="Heading2Char">
    <w:name w:val="Heading 2 Char"/>
    <w:basedOn w:val="DefaultParagraphFont"/>
    <w:link w:val="Heading2"/>
    <w:uiPriority w:val="9"/>
    <w:rsid w:val="000217E7"/>
    <w:rPr>
      <w:rFonts w:asciiTheme="majorHAnsi" w:eastAsiaTheme="majorEastAsia" w:hAnsiTheme="majorHAnsi" w:cstheme="majorBidi"/>
      <w:b/>
      <w:bCs/>
      <w:color w:val="212121" w:themeColor="text1" w:themeShade="80"/>
      <w:sz w:val="26"/>
      <w:szCs w:val="26"/>
    </w:rPr>
  </w:style>
  <w:style w:type="character" w:customStyle="1" w:styleId="Heading3Char">
    <w:name w:val="Heading 3 Char"/>
    <w:basedOn w:val="DefaultParagraphFont"/>
    <w:link w:val="Heading3"/>
    <w:uiPriority w:val="9"/>
    <w:rsid w:val="00F26892"/>
    <w:rPr>
      <w:rFonts w:asciiTheme="majorHAnsi" w:eastAsiaTheme="majorEastAsia" w:hAnsiTheme="majorHAnsi" w:cstheme="majorBidi"/>
      <w:bCs/>
      <w:color w:val="212121" w:themeColor="text1" w:themeShade="80"/>
    </w:rPr>
  </w:style>
  <w:style w:type="paragraph" w:styleId="ListParagraph">
    <w:name w:val="List Paragraph"/>
    <w:basedOn w:val="Normal"/>
    <w:uiPriority w:val="34"/>
    <w:qFormat/>
    <w:rsid w:val="00F26892"/>
    <w:pPr>
      <w:ind w:left="720"/>
      <w:contextualSpacing/>
    </w:pPr>
  </w:style>
  <w:style w:type="paragraph" w:customStyle="1" w:styleId="Bullets">
    <w:name w:val="Bullets"/>
    <w:basedOn w:val="ListParagraph"/>
    <w:autoRedefine/>
    <w:qFormat/>
    <w:rsid w:val="0079216A"/>
    <w:pPr>
      <w:numPr>
        <w:numId w:val="1"/>
      </w:numPr>
      <w:spacing w:before="0" w:after="80"/>
      <w:contextualSpacing w:val="0"/>
    </w:pPr>
  </w:style>
  <w:style w:type="paragraph" w:customStyle="1" w:styleId="CoverTitle">
    <w:name w:val="Cover Title"/>
    <w:qFormat/>
    <w:rsid w:val="0011614E"/>
    <w:pPr>
      <w:jc w:val="center"/>
    </w:pPr>
    <w:rPr>
      <w:rFonts w:asciiTheme="majorHAnsi" w:hAnsiTheme="majorHAnsi" w:cstheme="majorHAnsi"/>
      <w:color w:val="FFFFFF"/>
      <w:spacing w:val="2"/>
      <w:sz w:val="96"/>
      <w:szCs w:val="96"/>
    </w:rPr>
  </w:style>
  <w:style w:type="paragraph" w:customStyle="1" w:styleId="CoverSubheading">
    <w:name w:val="Cover Subheading"/>
    <w:basedOn w:val="Normal"/>
    <w:qFormat/>
    <w:rsid w:val="005819F9"/>
    <w:pPr>
      <w:spacing w:line="264" w:lineRule="auto"/>
      <w:jc w:val="center"/>
    </w:pPr>
    <w:rPr>
      <w:rFonts w:asciiTheme="majorHAnsi" w:hAnsiTheme="majorHAnsi" w:cstheme="majorHAnsi"/>
      <w:color w:val="FFFFFF"/>
      <w:spacing w:val="4"/>
      <w:sz w:val="44"/>
      <w:szCs w:val="48"/>
    </w:rPr>
  </w:style>
  <w:style w:type="paragraph" w:styleId="TOCHeading">
    <w:name w:val="TOC Heading"/>
    <w:basedOn w:val="Heading1"/>
    <w:next w:val="Normal"/>
    <w:uiPriority w:val="39"/>
    <w:unhideWhenUsed/>
    <w:qFormat/>
    <w:rsid w:val="006F733F"/>
    <w:pPr>
      <w:spacing w:before="480" w:after="0" w:line="276" w:lineRule="auto"/>
      <w:outlineLvl w:val="9"/>
    </w:pPr>
    <w:rPr>
      <w:color w:val="39833B" w:themeColor="accent1" w:themeShade="BF"/>
      <w:sz w:val="28"/>
      <w:szCs w:val="28"/>
    </w:rPr>
  </w:style>
  <w:style w:type="character" w:styleId="Strong">
    <w:name w:val="Strong"/>
    <w:basedOn w:val="DefaultParagraphFont"/>
    <w:uiPriority w:val="22"/>
    <w:qFormat/>
    <w:rsid w:val="00097336"/>
    <w:rPr>
      <w:b/>
      <w:bCs/>
    </w:rPr>
  </w:style>
  <w:style w:type="character" w:styleId="IntenseEmphasis">
    <w:name w:val="Intense Emphasis"/>
    <w:basedOn w:val="DefaultParagraphFont"/>
    <w:uiPriority w:val="21"/>
    <w:qFormat/>
    <w:rsid w:val="00B66E5F"/>
    <w:rPr>
      <w:b/>
      <w:bCs/>
      <w:i/>
      <w:iCs/>
      <w:color w:val="4CB050" w:themeColor="accent1"/>
    </w:rPr>
  </w:style>
  <w:style w:type="paragraph" w:styleId="BlockText">
    <w:name w:val="Block Text"/>
    <w:basedOn w:val="Normal"/>
    <w:autoRedefine/>
    <w:uiPriority w:val="99"/>
    <w:unhideWhenUsed/>
    <w:rsid w:val="007911FD"/>
    <w:pPr>
      <w:framePr w:w="10206" w:hSpace="284" w:vSpace="323" w:wrap="around" w:vAnchor="text" w:hAnchor="text" w:y="1"/>
      <w:pBdr>
        <w:top w:val="single" w:sz="2" w:space="18" w:color="4CB050" w:themeColor="accent1"/>
        <w:left w:val="single" w:sz="2" w:space="18" w:color="4CB050" w:themeColor="accent1"/>
        <w:bottom w:val="single" w:sz="2" w:space="18" w:color="4CB050" w:themeColor="accent1"/>
        <w:right w:val="single" w:sz="2" w:space="18" w:color="4CB050" w:themeColor="accent1"/>
      </w:pBdr>
      <w:ind w:left="227" w:right="227"/>
    </w:pPr>
    <w:rPr>
      <w:rFonts w:asciiTheme="majorHAnsi" w:hAnsiTheme="majorHAnsi"/>
      <w:sz w:val="24"/>
    </w:rPr>
  </w:style>
  <w:style w:type="paragraph" w:customStyle="1" w:styleId="Box-text">
    <w:name w:val="Box - text"/>
    <w:basedOn w:val="Normal"/>
    <w:autoRedefine/>
    <w:qFormat/>
    <w:rsid w:val="007911FD"/>
    <w:pPr>
      <w:framePr w:w="9923" w:hSpace="181" w:vSpace="181" w:wrap="around" w:vAnchor="text" w:hAnchor="text" w:y="1"/>
      <w:pBdr>
        <w:top w:val="single" w:sz="2" w:space="16" w:color="4CB050" w:themeColor="accent1"/>
        <w:left w:val="single" w:sz="2" w:space="16" w:color="4CB050" w:themeColor="accent1"/>
        <w:bottom w:val="single" w:sz="2" w:space="12" w:color="4CB050" w:themeColor="accent1"/>
        <w:right w:val="single" w:sz="2" w:space="16" w:color="4CB050" w:themeColor="accent1"/>
      </w:pBdr>
      <w:spacing w:before="0" w:after="120" w:line="336" w:lineRule="auto"/>
      <w:ind w:left="369" w:right="369"/>
    </w:pPr>
    <w:rPr>
      <w:rFonts w:asciiTheme="majorHAnsi" w:hAnsiTheme="majorHAnsi"/>
      <w:szCs w:val="21"/>
    </w:rPr>
  </w:style>
  <w:style w:type="paragraph" w:customStyle="1" w:styleId="Box-Title1">
    <w:name w:val="Box - Title 1"/>
    <w:basedOn w:val="Box-text"/>
    <w:qFormat/>
    <w:rsid w:val="007911FD"/>
    <w:pPr>
      <w:framePr w:wrap="around"/>
    </w:pPr>
    <w:rPr>
      <w:rFonts w:cstheme="majorHAnsi"/>
      <w:b/>
      <w:bCs/>
      <w:caps/>
      <w:color w:val="4CB050" w:themeColor="accent1"/>
      <w:spacing w:val="4"/>
      <w:szCs w:val="20"/>
    </w:rPr>
  </w:style>
  <w:style w:type="paragraph" w:styleId="Quote">
    <w:name w:val="Quote"/>
    <w:basedOn w:val="Normal"/>
    <w:next w:val="Normal"/>
    <w:link w:val="QuoteChar"/>
    <w:uiPriority w:val="29"/>
    <w:qFormat/>
    <w:rsid w:val="0032696B"/>
    <w:pPr>
      <w:spacing w:before="240" w:after="240" w:line="336" w:lineRule="auto"/>
      <w:ind w:left="340" w:right="680"/>
    </w:pPr>
    <w:rPr>
      <w:rFonts w:asciiTheme="majorHAnsi" w:hAnsiTheme="majorHAnsi"/>
      <w:color w:val="8D8D8D" w:themeColor="text1" w:themeTint="99"/>
      <w:szCs w:val="22"/>
    </w:rPr>
  </w:style>
  <w:style w:type="character" w:styleId="Emphasis">
    <w:name w:val="Emphasis"/>
    <w:basedOn w:val="DefaultParagraphFont"/>
    <w:uiPriority w:val="20"/>
    <w:qFormat/>
    <w:rsid w:val="000E4068"/>
    <w:rPr>
      <w:i/>
      <w:iCs/>
    </w:rPr>
  </w:style>
  <w:style w:type="character" w:customStyle="1" w:styleId="IntenseEmphasis-blk2">
    <w:name w:val="Intense Emphasis - blk 2"/>
    <w:basedOn w:val="DefaultParagraphFont"/>
    <w:uiPriority w:val="1"/>
    <w:qFormat/>
    <w:rsid w:val="007F2524"/>
    <w:rPr>
      <w:b/>
      <w:i/>
    </w:rPr>
  </w:style>
  <w:style w:type="paragraph" w:styleId="FootnoteText">
    <w:name w:val="footnote text"/>
    <w:link w:val="FootnoteTextChar"/>
    <w:unhideWhenUsed/>
    <w:rsid w:val="00E40865"/>
    <w:pPr>
      <w:spacing w:line="288" w:lineRule="auto"/>
    </w:pPr>
    <w:rPr>
      <w:rFonts w:asciiTheme="majorHAnsi" w:hAnsiTheme="majorHAnsi"/>
      <w:sz w:val="16"/>
    </w:rPr>
  </w:style>
  <w:style w:type="character" w:customStyle="1" w:styleId="FootnoteTextChar">
    <w:name w:val="Footnote Text Char"/>
    <w:basedOn w:val="DefaultParagraphFont"/>
    <w:link w:val="FootnoteText"/>
    <w:uiPriority w:val="99"/>
    <w:rsid w:val="00E40865"/>
    <w:rPr>
      <w:rFonts w:asciiTheme="majorHAnsi" w:hAnsiTheme="majorHAnsi"/>
      <w:sz w:val="16"/>
    </w:rPr>
  </w:style>
  <w:style w:type="character" w:styleId="FootnoteReference">
    <w:name w:val="footnote reference"/>
    <w:uiPriority w:val="99"/>
    <w:unhideWhenUsed/>
    <w:rsid w:val="00880388"/>
    <w:rPr>
      <w:rFonts w:asciiTheme="majorHAnsi" w:hAnsiTheme="majorHAnsi"/>
      <w:sz w:val="18"/>
      <w:vertAlign w:val="superscript"/>
    </w:rPr>
  </w:style>
  <w:style w:type="character" w:customStyle="1" w:styleId="QuoteChar">
    <w:name w:val="Quote Char"/>
    <w:basedOn w:val="DefaultParagraphFont"/>
    <w:link w:val="Quote"/>
    <w:uiPriority w:val="29"/>
    <w:rsid w:val="0032696B"/>
    <w:rPr>
      <w:rFonts w:asciiTheme="majorHAnsi" w:hAnsiTheme="majorHAnsi"/>
      <w:color w:val="8D8D8D" w:themeColor="text1" w:themeTint="99"/>
      <w:sz w:val="20"/>
      <w:szCs w:val="22"/>
    </w:rPr>
  </w:style>
  <w:style w:type="paragraph" w:customStyle="1" w:styleId="Box-Title2">
    <w:name w:val="Box - Title 2"/>
    <w:basedOn w:val="Box-Title1"/>
    <w:qFormat/>
    <w:rsid w:val="00BF44A8"/>
    <w:pPr>
      <w:framePr w:wrap="around"/>
    </w:pPr>
    <w:rPr>
      <w:caps w:val="0"/>
    </w:rPr>
  </w:style>
  <w:style w:type="table" w:styleId="TableGrid">
    <w:name w:val="Table Grid"/>
    <w:basedOn w:val="TableNormal"/>
    <w:uiPriority w:val="59"/>
    <w:rsid w:val="00105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059BA"/>
    <w:rPr>
      <w:color w:val="313131" w:themeColor="text1" w:themeShade="BF"/>
    </w:rPr>
    <w:tblPr>
      <w:tblStyleRowBandSize w:val="1"/>
      <w:tblStyleColBandSize w:val="1"/>
      <w:tblBorders>
        <w:top w:val="single" w:sz="8" w:space="0" w:color="424242" w:themeColor="text1"/>
        <w:bottom w:val="single" w:sz="8" w:space="0" w:color="424242" w:themeColor="text1"/>
      </w:tblBorders>
    </w:tblPr>
    <w:tblStylePr w:type="firstRow">
      <w:pPr>
        <w:spacing w:before="0" w:after="0" w:line="240" w:lineRule="auto"/>
      </w:pPr>
      <w:rPr>
        <w:b/>
        <w:bCs/>
      </w:rPr>
      <w:tblPr/>
      <w:tcPr>
        <w:tcBorders>
          <w:top w:val="single" w:sz="8" w:space="0" w:color="424242" w:themeColor="text1"/>
          <w:left w:val="nil"/>
          <w:bottom w:val="single" w:sz="8" w:space="0" w:color="424242" w:themeColor="text1"/>
          <w:right w:val="nil"/>
          <w:insideH w:val="nil"/>
          <w:insideV w:val="nil"/>
        </w:tcBorders>
      </w:tcPr>
    </w:tblStylePr>
    <w:tblStylePr w:type="lastRow">
      <w:pPr>
        <w:spacing w:before="0" w:after="0" w:line="240" w:lineRule="auto"/>
      </w:pPr>
      <w:rPr>
        <w:b/>
        <w:bCs/>
      </w:rPr>
      <w:tblPr/>
      <w:tcPr>
        <w:tcBorders>
          <w:top w:val="single" w:sz="8" w:space="0" w:color="424242" w:themeColor="text1"/>
          <w:left w:val="nil"/>
          <w:bottom w:val="single" w:sz="8" w:space="0" w:color="4242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1059BA"/>
    <w:rPr>
      <w:color w:val="39833B" w:themeColor="accent1" w:themeShade="BF"/>
    </w:rPr>
    <w:tblPr>
      <w:tblStyleRowBandSize w:val="1"/>
      <w:tblStyleColBandSize w:val="1"/>
      <w:tblBorders>
        <w:top w:val="single" w:sz="8" w:space="0" w:color="4CB050" w:themeColor="accent1"/>
        <w:bottom w:val="single" w:sz="8" w:space="0" w:color="4CB050" w:themeColor="accent1"/>
      </w:tblBorders>
    </w:tblPr>
    <w:tblStylePr w:type="firstRow">
      <w:pPr>
        <w:spacing w:before="0" w:after="0" w:line="240" w:lineRule="auto"/>
      </w:pPr>
      <w:rPr>
        <w:b/>
        <w:bCs/>
      </w:rPr>
      <w:tblPr/>
      <w:tcPr>
        <w:tcBorders>
          <w:top w:val="single" w:sz="8" w:space="0" w:color="4CB050" w:themeColor="accent1"/>
          <w:left w:val="nil"/>
          <w:bottom w:val="single" w:sz="8" w:space="0" w:color="4CB050" w:themeColor="accent1"/>
          <w:right w:val="nil"/>
          <w:insideH w:val="nil"/>
          <w:insideV w:val="nil"/>
        </w:tcBorders>
      </w:tcPr>
    </w:tblStylePr>
    <w:tblStylePr w:type="lastRow">
      <w:pPr>
        <w:spacing w:before="0" w:after="0" w:line="240" w:lineRule="auto"/>
      </w:pPr>
      <w:rPr>
        <w:b/>
        <w:bCs/>
      </w:rPr>
      <w:tblPr/>
      <w:tcPr>
        <w:tcBorders>
          <w:top w:val="single" w:sz="8" w:space="0" w:color="4CB050" w:themeColor="accent1"/>
          <w:left w:val="nil"/>
          <w:bottom w:val="single" w:sz="8" w:space="0" w:color="4CB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D3" w:themeFill="accent1" w:themeFillTint="3F"/>
      </w:tcPr>
    </w:tblStylePr>
    <w:tblStylePr w:type="band1Horz">
      <w:tblPr/>
      <w:tcPr>
        <w:tcBorders>
          <w:left w:val="nil"/>
          <w:right w:val="nil"/>
          <w:insideH w:val="nil"/>
          <w:insideV w:val="nil"/>
        </w:tcBorders>
        <w:shd w:val="clear" w:color="auto" w:fill="D2EBD3" w:themeFill="accent1" w:themeFillTint="3F"/>
      </w:tcPr>
    </w:tblStylePr>
  </w:style>
  <w:style w:type="table" w:styleId="LightShading-Accent2">
    <w:name w:val="Light Shading Accent 2"/>
    <w:basedOn w:val="TableNormal"/>
    <w:uiPriority w:val="60"/>
    <w:rsid w:val="001059BA"/>
    <w:rPr>
      <w:color w:val="027EBB" w:themeColor="accent2" w:themeShade="BF"/>
    </w:rPr>
    <w:tblPr>
      <w:tblStyleRowBandSize w:val="1"/>
      <w:tblStyleColBandSize w:val="1"/>
      <w:tblBorders>
        <w:top w:val="single" w:sz="8" w:space="0" w:color="03A9FA" w:themeColor="accent2"/>
        <w:bottom w:val="single" w:sz="8" w:space="0" w:color="03A9FA" w:themeColor="accent2"/>
      </w:tblBorders>
    </w:tblPr>
    <w:tblStylePr w:type="firstRow">
      <w:pPr>
        <w:spacing w:before="0" w:after="0" w:line="240" w:lineRule="auto"/>
      </w:pPr>
      <w:rPr>
        <w:b/>
        <w:bCs/>
      </w:rPr>
      <w:tblPr/>
      <w:tcPr>
        <w:tcBorders>
          <w:top w:val="single" w:sz="8" w:space="0" w:color="03A9FA" w:themeColor="accent2"/>
          <w:left w:val="nil"/>
          <w:bottom w:val="single" w:sz="8" w:space="0" w:color="03A9FA" w:themeColor="accent2"/>
          <w:right w:val="nil"/>
          <w:insideH w:val="nil"/>
          <w:insideV w:val="nil"/>
        </w:tcBorders>
      </w:tcPr>
    </w:tblStylePr>
    <w:tblStylePr w:type="lastRow">
      <w:pPr>
        <w:spacing w:before="0" w:after="0" w:line="240" w:lineRule="auto"/>
      </w:pPr>
      <w:rPr>
        <w:b/>
        <w:bCs/>
      </w:rPr>
      <w:tblPr/>
      <w:tcPr>
        <w:tcBorders>
          <w:top w:val="single" w:sz="8" w:space="0" w:color="03A9FA" w:themeColor="accent2"/>
          <w:left w:val="nil"/>
          <w:bottom w:val="single" w:sz="8" w:space="0" w:color="03A9F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9FE" w:themeFill="accent2" w:themeFillTint="3F"/>
      </w:tcPr>
    </w:tblStylePr>
    <w:tblStylePr w:type="band1Horz">
      <w:tblPr/>
      <w:tcPr>
        <w:tcBorders>
          <w:left w:val="nil"/>
          <w:right w:val="nil"/>
          <w:insideH w:val="nil"/>
          <w:insideV w:val="nil"/>
        </w:tcBorders>
        <w:shd w:val="clear" w:color="auto" w:fill="C0E9FE" w:themeFill="accent2" w:themeFillTint="3F"/>
      </w:tcPr>
    </w:tblStylePr>
  </w:style>
  <w:style w:type="table" w:styleId="LightShading-Accent3">
    <w:name w:val="Light Shading Accent 3"/>
    <w:basedOn w:val="TableNormal"/>
    <w:uiPriority w:val="60"/>
    <w:rsid w:val="001059BA"/>
    <w:rPr>
      <w:color w:val="D83300" w:themeColor="accent3" w:themeShade="BF"/>
    </w:rPr>
    <w:tblPr>
      <w:tblStyleRowBandSize w:val="1"/>
      <w:tblStyleColBandSize w:val="1"/>
      <w:tblBorders>
        <w:top w:val="single" w:sz="8" w:space="0" w:color="FF5722" w:themeColor="accent3"/>
        <w:bottom w:val="single" w:sz="8" w:space="0" w:color="FF5722" w:themeColor="accent3"/>
      </w:tblBorders>
    </w:tblPr>
    <w:tblStylePr w:type="firstRow">
      <w:pPr>
        <w:spacing w:before="0" w:after="0" w:line="240" w:lineRule="auto"/>
      </w:pPr>
      <w:rPr>
        <w:b/>
        <w:bCs/>
      </w:rPr>
      <w:tblPr/>
      <w:tcPr>
        <w:tcBorders>
          <w:top w:val="single" w:sz="8" w:space="0" w:color="FF5722" w:themeColor="accent3"/>
          <w:left w:val="nil"/>
          <w:bottom w:val="single" w:sz="8" w:space="0" w:color="FF5722" w:themeColor="accent3"/>
          <w:right w:val="nil"/>
          <w:insideH w:val="nil"/>
          <w:insideV w:val="nil"/>
        </w:tcBorders>
      </w:tcPr>
    </w:tblStylePr>
    <w:tblStylePr w:type="lastRow">
      <w:pPr>
        <w:spacing w:before="0" w:after="0" w:line="240" w:lineRule="auto"/>
      </w:pPr>
      <w:rPr>
        <w:b/>
        <w:bCs/>
      </w:rPr>
      <w:tblPr/>
      <w:tcPr>
        <w:tcBorders>
          <w:top w:val="single" w:sz="8" w:space="0" w:color="FF5722" w:themeColor="accent3"/>
          <w:left w:val="nil"/>
          <w:bottom w:val="single" w:sz="8" w:space="0" w:color="FF572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C8" w:themeFill="accent3" w:themeFillTint="3F"/>
      </w:tcPr>
    </w:tblStylePr>
    <w:tblStylePr w:type="band1Horz">
      <w:tblPr/>
      <w:tcPr>
        <w:tcBorders>
          <w:left w:val="nil"/>
          <w:right w:val="nil"/>
          <w:insideH w:val="nil"/>
          <w:insideV w:val="nil"/>
        </w:tcBorders>
        <w:shd w:val="clear" w:color="auto" w:fill="FFD5C8" w:themeFill="accent3" w:themeFillTint="3F"/>
      </w:tcPr>
    </w:tblStylePr>
  </w:style>
  <w:style w:type="table" w:styleId="LightShading-Accent4">
    <w:name w:val="Light Shading Accent 4"/>
    <w:basedOn w:val="TableNormal"/>
    <w:uiPriority w:val="60"/>
    <w:rsid w:val="001059BA"/>
    <w:rPr>
      <w:color w:val="007065" w:themeColor="accent4" w:themeShade="BF"/>
    </w:rPr>
    <w:tblPr>
      <w:tblStyleRowBandSize w:val="1"/>
      <w:tblStyleColBandSize w:val="1"/>
      <w:tblBorders>
        <w:top w:val="single" w:sz="8" w:space="0" w:color="009688" w:themeColor="accent4"/>
        <w:bottom w:val="single" w:sz="8" w:space="0" w:color="009688" w:themeColor="accent4"/>
      </w:tblBorders>
    </w:tblPr>
    <w:tblStylePr w:type="firstRow">
      <w:pPr>
        <w:spacing w:before="0" w:after="0" w:line="240" w:lineRule="auto"/>
      </w:pPr>
      <w:rPr>
        <w:b/>
        <w:bCs/>
      </w:rPr>
      <w:tblPr/>
      <w:tcPr>
        <w:tcBorders>
          <w:top w:val="single" w:sz="8" w:space="0" w:color="009688" w:themeColor="accent4"/>
          <w:left w:val="nil"/>
          <w:bottom w:val="single" w:sz="8" w:space="0" w:color="009688" w:themeColor="accent4"/>
          <w:right w:val="nil"/>
          <w:insideH w:val="nil"/>
          <w:insideV w:val="nil"/>
        </w:tcBorders>
      </w:tcPr>
    </w:tblStylePr>
    <w:tblStylePr w:type="lastRow">
      <w:pPr>
        <w:spacing w:before="0" w:after="0" w:line="240" w:lineRule="auto"/>
      </w:pPr>
      <w:rPr>
        <w:b/>
        <w:bCs/>
      </w:rPr>
      <w:tblPr/>
      <w:tcPr>
        <w:tcBorders>
          <w:top w:val="single" w:sz="8" w:space="0" w:color="009688" w:themeColor="accent4"/>
          <w:left w:val="nil"/>
          <w:bottom w:val="single" w:sz="8" w:space="0" w:color="00968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6" w:themeFill="accent4" w:themeFillTint="3F"/>
      </w:tcPr>
    </w:tblStylePr>
    <w:tblStylePr w:type="band1Horz">
      <w:tblPr/>
      <w:tcPr>
        <w:tcBorders>
          <w:left w:val="nil"/>
          <w:right w:val="nil"/>
          <w:insideH w:val="nil"/>
          <w:insideV w:val="nil"/>
        </w:tcBorders>
        <w:shd w:val="clear" w:color="auto" w:fill="A6FFF6" w:themeFill="accent4" w:themeFillTint="3F"/>
      </w:tcPr>
    </w:tblStylePr>
  </w:style>
  <w:style w:type="table" w:styleId="MediumList2">
    <w:name w:val="Medium List 2"/>
    <w:basedOn w:val="TableNormal"/>
    <w:uiPriority w:val="66"/>
    <w:rsid w:val="001059BA"/>
    <w:rPr>
      <w:rFonts w:asciiTheme="majorHAnsi" w:eastAsiaTheme="majorEastAsia" w:hAnsiTheme="majorHAnsi" w:cstheme="majorBidi"/>
      <w:color w:val="424242" w:themeColor="text1"/>
    </w:rPr>
    <w:tblPr>
      <w:tblStyleRowBandSize w:val="1"/>
      <w:tblStyleColBandSize w:val="1"/>
      <w:tblBorders>
        <w:top w:val="single" w:sz="8" w:space="0" w:color="424242" w:themeColor="text1"/>
        <w:left w:val="single" w:sz="8" w:space="0" w:color="424242" w:themeColor="text1"/>
        <w:bottom w:val="single" w:sz="8" w:space="0" w:color="424242" w:themeColor="text1"/>
        <w:right w:val="single" w:sz="8" w:space="0" w:color="424242" w:themeColor="text1"/>
      </w:tblBorders>
    </w:tblPr>
    <w:tblStylePr w:type="firstRow">
      <w:rPr>
        <w:sz w:val="24"/>
        <w:szCs w:val="24"/>
      </w:rPr>
      <w:tblPr/>
      <w:tcPr>
        <w:tcBorders>
          <w:top w:val="nil"/>
          <w:left w:val="nil"/>
          <w:bottom w:val="single" w:sz="24" w:space="0" w:color="424242" w:themeColor="text1"/>
          <w:right w:val="nil"/>
          <w:insideH w:val="nil"/>
          <w:insideV w:val="nil"/>
        </w:tcBorders>
        <w:shd w:val="clear" w:color="auto" w:fill="E0E0E0" w:themeFill="background1"/>
      </w:tcPr>
    </w:tblStylePr>
    <w:tblStylePr w:type="lastRow">
      <w:tblPr/>
      <w:tcPr>
        <w:tcBorders>
          <w:top w:val="single" w:sz="8" w:space="0" w:color="424242" w:themeColor="text1"/>
          <w:left w:val="nil"/>
          <w:bottom w:val="nil"/>
          <w:right w:val="nil"/>
          <w:insideH w:val="nil"/>
          <w:insideV w:val="nil"/>
        </w:tcBorders>
        <w:shd w:val="clear" w:color="auto" w:fill="E0E0E0" w:themeFill="background1"/>
      </w:tcPr>
    </w:tblStylePr>
    <w:tblStylePr w:type="firstCol">
      <w:tblPr/>
      <w:tcPr>
        <w:tcBorders>
          <w:top w:val="nil"/>
          <w:left w:val="nil"/>
          <w:bottom w:val="nil"/>
          <w:right w:val="single" w:sz="8" w:space="0" w:color="424242" w:themeColor="text1"/>
          <w:insideH w:val="nil"/>
          <w:insideV w:val="nil"/>
        </w:tcBorders>
        <w:shd w:val="clear" w:color="auto" w:fill="E0E0E0" w:themeFill="background1"/>
      </w:tcPr>
    </w:tblStylePr>
    <w:tblStylePr w:type="lastCol">
      <w:tblPr/>
      <w:tcPr>
        <w:tcBorders>
          <w:top w:val="nil"/>
          <w:left w:val="single" w:sz="8" w:space="0" w:color="424242" w:themeColor="text1"/>
          <w:bottom w:val="nil"/>
          <w:right w:val="nil"/>
          <w:insideH w:val="nil"/>
          <w:insideV w:val="nil"/>
        </w:tcBorders>
        <w:shd w:val="clear" w:color="auto" w:fill="E0E0E0"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E0E0E0" w:themeFill="background1"/>
      </w:tcPr>
    </w:tblStylePr>
    <w:tblStylePr w:type="swCell">
      <w:tblPr/>
      <w:tcPr>
        <w:tcBorders>
          <w:top w:val="nil"/>
        </w:tcBorders>
      </w:tcPr>
    </w:tblStylePr>
  </w:style>
  <w:style w:type="table" w:styleId="MediumList2-Accent1">
    <w:name w:val="Medium List 2 Accent 1"/>
    <w:basedOn w:val="TableNormal"/>
    <w:uiPriority w:val="66"/>
    <w:rsid w:val="001059BA"/>
    <w:rPr>
      <w:rFonts w:asciiTheme="majorHAnsi" w:eastAsiaTheme="majorEastAsia" w:hAnsiTheme="majorHAnsi" w:cstheme="majorBidi"/>
      <w:color w:val="424242" w:themeColor="text1"/>
    </w:rPr>
    <w:tblPr>
      <w:tblStyleRowBandSize w:val="1"/>
      <w:tblStyleColBandSize w:val="1"/>
      <w:tblBorders>
        <w:top w:val="single" w:sz="8" w:space="0" w:color="4CB050" w:themeColor="accent1"/>
        <w:left w:val="single" w:sz="8" w:space="0" w:color="4CB050" w:themeColor="accent1"/>
        <w:bottom w:val="single" w:sz="8" w:space="0" w:color="4CB050" w:themeColor="accent1"/>
        <w:right w:val="single" w:sz="8" w:space="0" w:color="4CB050" w:themeColor="accent1"/>
      </w:tblBorders>
    </w:tblPr>
    <w:tblStylePr w:type="firstRow">
      <w:rPr>
        <w:sz w:val="24"/>
        <w:szCs w:val="24"/>
      </w:rPr>
      <w:tblPr/>
      <w:tcPr>
        <w:tcBorders>
          <w:top w:val="nil"/>
          <w:left w:val="nil"/>
          <w:bottom w:val="single" w:sz="24" w:space="0" w:color="4CB050" w:themeColor="accent1"/>
          <w:right w:val="nil"/>
          <w:insideH w:val="nil"/>
          <w:insideV w:val="nil"/>
        </w:tcBorders>
        <w:shd w:val="clear" w:color="auto" w:fill="E0E0E0" w:themeFill="background1"/>
      </w:tcPr>
    </w:tblStylePr>
    <w:tblStylePr w:type="lastRow">
      <w:tblPr/>
      <w:tcPr>
        <w:tcBorders>
          <w:top w:val="single" w:sz="8" w:space="0" w:color="4CB050" w:themeColor="accent1"/>
          <w:left w:val="nil"/>
          <w:bottom w:val="nil"/>
          <w:right w:val="nil"/>
          <w:insideH w:val="nil"/>
          <w:insideV w:val="nil"/>
        </w:tcBorders>
        <w:shd w:val="clear" w:color="auto" w:fill="E0E0E0" w:themeFill="background1"/>
      </w:tcPr>
    </w:tblStylePr>
    <w:tblStylePr w:type="firstCol">
      <w:tblPr/>
      <w:tcPr>
        <w:tcBorders>
          <w:top w:val="nil"/>
          <w:left w:val="nil"/>
          <w:bottom w:val="nil"/>
          <w:right w:val="single" w:sz="8" w:space="0" w:color="4CB050" w:themeColor="accent1"/>
          <w:insideH w:val="nil"/>
          <w:insideV w:val="nil"/>
        </w:tcBorders>
        <w:shd w:val="clear" w:color="auto" w:fill="E0E0E0" w:themeFill="background1"/>
      </w:tcPr>
    </w:tblStylePr>
    <w:tblStylePr w:type="lastCol">
      <w:tblPr/>
      <w:tcPr>
        <w:tcBorders>
          <w:top w:val="nil"/>
          <w:left w:val="single" w:sz="8" w:space="0" w:color="4CB050" w:themeColor="accent1"/>
          <w:bottom w:val="nil"/>
          <w:right w:val="nil"/>
          <w:insideH w:val="nil"/>
          <w:insideV w:val="nil"/>
        </w:tcBorders>
        <w:shd w:val="clear" w:color="auto" w:fill="E0E0E0" w:themeFill="background1"/>
      </w:tcPr>
    </w:tblStylePr>
    <w:tblStylePr w:type="band1Vert">
      <w:tblPr/>
      <w:tcPr>
        <w:tcBorders>
          <w:left w:val="nil"/>
          <w:right w:val="nil"/>
          <w:insideH w:val="nil"/>
          <w:insideV w:val="nil"/>
        </w:tcBorders>
        <w:shd w:val="clear" w:color="auto" w:fill="D2EBD3" w:themeFill="accent1" w:themeFillTint="3F"/>
      </w:tcPr>
    </w:tblStylePr>
    <w:tblStylePr w:type="band1Horz">
      <w:tblPr/>
      <w:tcPr>
        <w:tcBorders>
          <w:top w:val="nil"/>
          <w:bottom w:val="nil"/>
          <w:insideH w:val="nil"/>
          <w:insideV w:val="nil"/>
        </w:tcBorders>
        <w:shd w:val="clear" w:color="auto" w:fill="D2EBD3" w:themeFill="accent1" w:themeFillTint="3F"/>
      </w:tcPr>
    </w:tblStylePr>
    <w:tblStylePr w:type="nwCell">
      <w:tblPr/>
      <w:tcPr>
        <w:shd w:val="clear" w:color="auto" w:fill="E0E0E0" w:themeFill="background1"/>
      </w:tcPr>
    </w:tblStylePr>
    <w:tblStylePr w:type="swCell">
      <w:tblPr/>
      <w:tcPr>
        <w:tcBorders>
          <w:top w:val="nil"/>
        </w:tcBorders>
      </w:tcPr>
    </w:tblStylePr>
  </w:style>
  <w:style w:type="table" w:styleId="LightGrid-Accent1">
    <w:name w:val="Light Grid Accent 1"/>
    <w:basedOn w:val="TableNormal"/>
    <w:uiPriority w:val="62"/>
    <w:rsid w:val="002A1171"/>
    <w:tblPr>
      <w:tblStyleRowBandSize w:val="1"/>
      <w:tblStyleColBandSize w:val="1"/>
      <w:tblBorders>
        <w:top w:val="single" w:sz="8" w:space="0" w:color="4CB050" w:themeColor="accent1"/>
        <w:left w:val="single" w:sz="8" w:space="0" w:color="4CB050" w:themeColor="accent1"/>
        <w:bottom w:val="single" w:sz="8" w:space="0" w:color="4CB050" w:themeColor="accent1"/>
        <w:right w:val="single" w:sz="8" w:space="0" w:color="4CB050" w:themeColor="accent1"/>
        <w:insideH w:val="single" w:sz="8" w:space="0" w:color="4CB050" w:themeColor="accent1"/>
        <w:insideV w:val="single" w:sz="8" w:space="0" w:color="4CB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CB050" w:themeColor="accent1"/>
          <w:left w:val="single" w:sz="8" w:space="0" w:color="4CB050" w:themeColor="accent1"/>
          <w:bottom w:val="single" w:sz="18" w:space="0" w:color="4CB050" w:themeColor="accent1"/>
          <w:right w:val="single" w:sz="8" w:space="0" w:color="4CB050" w:themeColor="accent1"/>
          <w:insideH w:val="nil"/>
          <w:insideV w:val="single" w:sz="8" w:space="0" w:color="4CB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CB050" w:themeColor="accent1"/>
          <w:left w:val="single" w:sz="8" w:space="0" w:color="4CB050" w:themeColor="accent1"/>
          <w:bottom w:val="single" w:sz="8" w:space="0" w:color="4CB050" w:themeColor="accent1"/>
          <w:right w:val="single" w:sz="8" w:space="0" w:color="4CB050" w:themeColor="accent1"/>
          <w:insideH w:val="nil"/>
          <w:insideV w:val="single" w:sz="8" w:space="0" w:color="4CB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CB050" w:themeColor="accent1"/>
          <w:left w:val="single" w:sz="8" w:space="0" w:color="4CB050" w:themeColor="accent1"/>
          <w:bottom w:val="single" w:sz="8" w:space="0" w:color="4CB050" w:themeColor="accent1"/>
          <w:right w:val="single" w:sz="8" w:space="0" w:color="4CB050" w:themeColor="accent1"/>
        </w:tcBorders>
      </w:tcPr>
    </w:tblStylePr>
    <w:tblStylePr w:type="band1Vert">
      <w:tblPr/>
      <w:tcPr>
        <w:tcBorders>
          <w:top w:val="single" w:sz="8" w:space="0" w:color="4CB050" w:themeColor="accent1"/>
          <w:left w:val="single" w:sz="8" w:space="0" w:color="4CB050" w:themeColor="accent1"/>
          <w:bottom w:val="single" w:sz="8" w:space="0" w:color="4CB050" w:themeColor="accent1"/>
          <w:right w:val="single" w:sz="8" w:space="0" w:color="4CB050" w:themeColor="accent1"/>
        </w:tcBorders>
        <w:shd w:val="clear" w:color="auto" w:fill="D2EBD3" w:themeFill="accent1" w:themeFillTint="3F"/>
      </w:tcPr>
    </w:tblStylePr>
    <w:tblStylePr w:type="band1Horz">
      <w:tblPr/>
      <w:tcPr>
        <w:tcBorders>
          <w:top w:val="single" w:sz="8" w:space="0" w:color="4CB050" w:themeColor="accent1"/>
          <w:left w:val="single" w:sz="8" w:space="0" w:color="4CB050" w:themeColor="accent1"/>
          <w:bottom w:val="single" w:sz="8" w:space="0" w:color="4CB050" w:themeColor="accent1"/>
          <w:right w:val="single" w:sz="8" w:space="0" w:color="4CB050" w:themeColor="accent1"/>
          <w:insideV w:val="single" w:sz="8" w:space="0" w:color="4CB050" w:themeColor="accent1"/>
        </w:tcBorders>
        <w:shd w:val="clear" w:color="auto" w:fill="D2EBD3" w:themeFill="accent1" w:themeFillTint="3F"/>
      </w:tcPr>
    </w:tblStylePr>
    <w:tblStylePr w:type="band2Horz">
      <w:tblPr/>
      <w:tcPr>
        <w:tcBorders>
          <w:top w:val="single" w:sz="8" w:space="0" w:color="4CB050" w:themeColor="accent1"/>
          <w:left w:val="single" w:sz="8" w:space="0" w:color="4CB050" w:themeColor="accent1"/>
          <w:bottom w:val="single" w:sz="8" w:space="0" w:color="4CB050" w:themeColor="accent1"/>
          <w:right w:val="single" w:sz="8" w:space="0" w:color="4CB050" w:themeColor="accent1"/>
          <w:insideV w:val="single" w:sz="8" w:space="0" w:color="4CB050" w:themeColor="accent1"/>
        </w:tcBorders>
      </w:tcPr>
    </w:tblStylePr>
  </w:style>
  <w:style w:type="table" w:styleId="LightGrid-Accent2">
    <w:name w:val="Light Grid Accent 2"/>
    <w:basedOn w:val="TableNormal"/>
    <w:uiPriority w:val="62"/>
    <w:rsid w:val="002A1171"/>
    <w:tblPr>
      <w:tblStyleRowBandSize w:val="1"/>
      <w:tblStyleColBandSize w:val="1"/>
      <w:tblBorders>
        <w:top w:val="single" w:sz="8" w:space="0" w:color="03A9FA" w:themeColor="accent2"/>
        <w:left w:val="single" w:sz="8" w:space="0" w:color="03A9FA" w:themeColor="accent2"/>
        <w:bottom w:val="single" w:sz="8" w:space="0" w:color="03A9FA" w:themeColor="accent2"/>
        <w:right w:val="single" w:sz="8" w:space="0" w:color="03A9FA" w:themeColor="accent2"/>
        <w:insideH w:val="single" w:sz="8" w:space="0" w:color="03A9FA" w:themeColor="accent2"/>
        <w:insideV w:val="single" w:sz="8" w:space="0" w:color="03A9F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FA" w:themeColor="accent2"/>
          <w:left w:val="single" w:sz="8" w:space="0" w:color="03A9FA" w:themeColor="accent2"/>
          <w:bottom w:val="single" w:sz="18" w:space="0" w:color="03A9FA" w:themeColor="accent2"/>
          <w:right w:val="single" w:sz="8" w:space="0" w:color="03A9FA" w:themeColor="accent2"/>
          <w:insideH w:val="nil"/>
          <w:insideV w:val="single" w:sz="8" w:space="0" w:color="03A9F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FA" w:themeColor="accent2"/>
          <w:left w:val="single" w:sz="8" w:space="0" w:color="03A9FA" w:themeColor="accent2"/>
          <w:bottom w:val="single" w:sz="8" w:space="0" w:color="03A9FA" w:themeColor="accent2"/>
          <w:right w:val="single" w:sz="8" w:space="0" w:color="03A9FA" w:themeColor="accent2"/>
          <w:insideH w:val="nil"/>
          <w:insideV w:val="single" w:sz="8" w:space="0" w:color="03A9F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FA" w:themeColor="accent2"/>
          <w:left w:val="single" w:sz="8" w:space="0" w:color="03A9FA" w:themeColor="accent2"/>
          <w:bottom w:val="single" w:sz="8" w:space="0" w:color="03A9FA" w:themeColor="accent2"/>
          <w:right w:val="single" w:sz="8" w:space="0" w:color="03A9FA" w:themeColor="accent2"/>
        </w:tcBorders>
      </w:tcPr>
    </w:tblStylePr>
    <w:tblStylePr w:type="band1Vert">
      <w:tblPr/>
      <w:tcPr>
        <w:tcBorders>
          <w:top w:val="single" w:sz="8" w:space="0" w:color="03A9FA" w:themeColor="accent2"/>
          <w:left w:val="single" w:sz="8" w:space="0" w:color="03A9FA" w:themeColor="accent2"/>
          <w:bottom w:val="single" w:sz="8" w:space="0" w:color="03A9FA" w:themeColor="accent2"/>
          <w:right w:val="single" w:sz="8" w:space="0" w:color="03A9FA" w:themeColor="accent2"/>
        </w:tcBorders>
        <w:shd w:val="clear" w:color="auto" w:fill="C0E9FE" w:themeFill="accent2" w:themeFillTint="3F"/>
      </w:tcPr>
    </w:tblStylePr>
    <w:tblStylePr w:type="band1Horz">
      <w:tblPr/>
      <w:tcPr>
        <w:tcBorders>
          <w:top w:val="single" w:sz="8" w:space="0" w:color="03A9FA" w:themeColor="accent2"/>
          <w:left w:val="single" w:sz="8" w:space="0" w:color="03A9FA" w:themeColor="accent2"/>
          <w:bottom w:val="single" w:sz="8" w:space="0" w:color="03A9FA" w:themeColor="accent2"/>
          <w:right w:val="single" w:sz="8" w:space="0" w:color="03A9FA" w:themeColor="accent2"/>
          <w:insideV w:val="single" w:sz="8" w:space="0" w:color="03A9FA" w:themeColor="accent2"/>
        </w:tcBorders>
        <w:shd w:val="clear" w:color="auto" w:fill="C0E9FE" w:themeFill="accent2" w:themeFillTint="3F"/>
      </w:tcPr>
    </w:tblStylePr>
    <w:tblStylePr w:type="band2Horz">
      <w:tblPr/>
      <w:tcPr>
        <w:tcBorders>
          <w:top w:val="single" w:sz="8" w:space="0" w:color="03A9FA" w:themeColor="accent2"/>
          <w:left w:val="single" w:sz="8" w:space="0" w:color="03A9FA" w:themeColor="accent2"/>
          <w:bottom w:val="single" w:sz="8" w:space="0" w:color="03A9FA" w:themeColor="accent2"/>
          <w:right w:val="single" w:sz="8" w:space="0" w:color="03A9FA" w:themeColor="accent2"/>
          <w:insideV w:val="single" w:sz="8" w:space="0" w:color="03A9FA" w:themeColor="accent2"/>
        </w:tcBorders>
      </w:tcPr>
    </w:tblStylePr>
  </w:style>
  <w:style w:type="table" w:styleId="MediumShading1-Accent2">
    <w:name w:val="Medium Shading 1 Accent 2"/>
    <w:basedOn w:val="TableNormal"/>
    <w:uiPriority w:val="63"/>
    <w:rsid w:val="002A1171"/>
    <w:tblPr>
      <w:tblStyleRowBandSize w:val="1"/>
      <w:tblStyleColBandSize w:val="1"/>
      <w:tblBorders>
        <w:top w:val="single" w:sz="8" w:space="0" w:color="40BEFC" w:themeColor="accent2" w:themeTint="BF"/>
        <w:left w:val="single" w:sz="8" w:space="0" w:color="40BEFC" w:themeColor="accent2" w:themeTint="BF"/>
        <w:bottom w:val="single" w:sz="8" w:space="0" w:color="40BEFC" w:themeColor="accent2" w:themeTint="BF"/>
        <w:right w:val="single" w:sz="8" w:space="0" w:color="40BEFC" w:themeColor="accent2" w:themeTint="BF"/>
        <w:insideH w:val="single" w:sz="8" w:space="0" w:color="40BEFC" w:themeColor="accent2" w:themeTint="BF"/>
      </w:tblBorders>
    </w:tblPr>
    <w:tblStylePr w:type="firstRow">
      <w:pPr>
        <w:spacing w:before="0" w:after="0" w:line="240" w:lineRule="auto"/>
      </w:pPr>
      <w:rPr>
        <w:b/>
        <w:bCs/>
        <w:color w:val="E0E0E0" w:themeColor="background1"/>
      </w:rPr>
      <w:tblPr/>
      <w:tcPr>
        <w:tcBorders>
          <w:top w:val="single" w:sz="8" w:space="0" w:color="40BEFC" w:themeColor="accent2" w:themeTint="BF"/>
          <w:left w:val="single" w:sz="8" w:space="0" w:color="40BEFC" w:themeColor="accent2" w:themeTint="BF"/>
          <w:bottom w:val="single" w:sz="8" w:space="0" w:color="40BEFC" w:themeColor="accent2" w:themeTint="BF"/>
          <w:right w:val="single" w:sz="8" w:space="0" w:color="40BEFC" w:themeColor="accent2" w:themeTint="BF"/>
          <w:insideH w:val="nil"/>
          <w:insideV w:val="nil"/>
        </w:tcBorders>
        <w:shd w:val="clear" w:color="auto" w:fill="03A9FA" w:themeFill="accent2"/>
      </w:tcPr>
    </w:tblStylePr>
    <w:tblStylePr w:type="lastRow">
      <w:pPr>
        <w:spacing w:before="0" w:after="0" w:line="240" w:lineRule="auto"/>
      </w:pPr>
      <w:rPr>
        <w:b/>
        <w:bCs/>
      </w:rPr>
      <w:tblPr/>
      <w:tcPr>
        <w:tcBorders>
          <w:top w:val="double" w:sz="6" w:space="0" w:color="40BEFC" w:themeColor="accent2" w:themeTint="BF"/>
          <w:left w:val="single" w:sz="8" w:space="0" w:color="40BEFC" w:themeColor="accent2" w:themeTint="BF"/>
          <w:bottom w:val="single" w:sz="8" w:space="0" w:color="40BEFC" w:themeColor="accent2" w:themeTint="BF"/>
          <w:right w:val="single" w:sz="8" w:space="0" w:color="40BE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C0E9FE" w:themeFill="accent2" w:themeFillTint="3F"/>
      </w:tcPr>
    </w:tblStylePr>
    <w:tblStylePr w:type="band1Horz">
      <w:tblPr/>
      <w:tcPr>
        <w:tcBorders>
          <w:insideH w:val="nil"/>
          <w:insideV w:val="nil"/>
        </w:tcBorders>
        <w:shd w:val="clear" w:color="auto" w:fill="C0E9FE"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2A1171"/>
    <w:tblPr>
      <w:tblStyleRowBandSize w:val="1"/>
      <w:tblStyleColBandSize w:val="1"/>
      <w:tblBorders>
        <w:top w:val="single" w:sz="8" w:space="0" w:color="40BEFC" w:themeColor="accent2" w:themeTint="BF"/>
        <w:left w:val="single" w:sz="8" w:space="0" w:color="40BEFC" w:themeColor="accent2" w:themeTint="BF"/>
        <w:bottom w:val="single" w:sz="8" w:space="0" w:color="40BEFC" w:themeColor="accent2" w:themeTint="BF"/>
        <w:right w:val="single" w:sz="8" w:space="0" w:color="40BEFC" w:themeColor="accent2" w:themeTint="BF"/>
        <w:insideH w:val="single" w:sz="8" w:space="0" w:color="40BEFC" w:themeColor="accent2" w:themeTint="BF"/>
        <w:insideV w:val="single" w:sz="8" w:space="0" w:color="40BEFC" w:themeColor="accent2" w:themeTint="BF"/>
      </w:tblBorders>
    </w:tblPr>
    <w:tcPr>
      <w:shd w:val="clear" w:color="auto" w:fill="C0E9FE" w:themeFill="accent2" w:themeFillTint="3F"/>
    </w:tcPr>
    <w:tblStylePr w:type="firstRow">
      <w:rPr>
        <w:b/>
        <w:bCs/>
      </w:rPr>
    </w:tblStylePr>
    <w:tblStylePr w:type="lastRow">
      <w:rPr>
        <w:b/>
        <w:bCs/>
      </w:rPr>
      <w:tblPr/>
      <w:tcPr>
        <w:tcBorders>
          <w:top w:val="single" w:sz="18" w:space="0" w:color="40BEFC" w:themeColor="accent2" w:themeTint="BF"/>
        </w:tcBorders>
      </w:tcPr>
    </w:tblStylePr>
    <w:tblStylePr w:type="firstCol">
      <w:rPr>
        <w:b/>
        <w:bCs/>
      </w:rPr>
    </w:tblStylePr>
    <w:tblStylePr w:type="lastCol">
      <w:rPr>
        <w:b/>
        <w:bCs/>
      </w:rPr>
    </w:tblStylePr>
    <w:tblStylePr w:type="band1Vert">
      <w:tblPr/>
      <w:tcPr>
        <w:shd w:val="clear" w:color="auto" w:fill="80D4FD" w:themeFill="accent2" w:themeFillTint="7F"/>
      </w:tcPr>
    </w:tblStylePr>
    <w:tblStylePr w:type="band1Horz">
      <w:tblPr/>
      <w:tcPr>
        <w:shd w:val="clear" w:color="auto" w:fill="80D4FD" w:themeFill="accent2" w:themeFillTint="7F"/>
      </w:tcPr>
    </w:tblStylePr>
  </w:style>
  <w:style w:type="table" w:styleId="ColorfulShading-Accent2">
    <w:name w:val="Colorful Shading Accent 2"/>
    <w:basedOn w:val="TableNormal"/>
    <w:uiPriority w:val="71"/>
    <w:rsid w:val="002A1171"/>
    <w:rPr>
      <w:color w:val="424242" w:themeColor="text1"/>
    </w:rPr>
    <w:tblPr>
      <w:tblStyleRowBandSize w:val="1"/>
      <w:tblStyleColBandSize w:val="1"/>
      <w:tblBorders>
        <w:top w:val="single" w:sz="24" w:space="0" w:color="03A9FA" w:themeColor="accent2"/>
        <w:left w:val="single" w:sz="4" w:space="0" w:color="03A9FA" w:themeColor="accent2"/>
        <w:bottom w:val="single" w:sz="4" w:space="0" w:color="03A9FA" w:themeColor="accent2"/>
        <w:right w:val="single" w:sz="4" w:space="0" w:color="03A9FA" w:themeColor="accent2"/>
        <w:insideH w:val="single" w:sz="4" w:space="0" w:color="E0E0E0" w:themeColor="background1"/>
        <w:insideV w:val="single" w:sz="4" w:space="0" w:color="E0E0E0" w:themeColor="background1"/>
      </w:tblBorders>
    </w:tblPr>
    <w:tcPr>
      <w:shd w:val="clear" w:color="auto" w:fill="E5F6FE" w:themeFill="accent2" w:themeFillTint="19"/>
    </w:tcPr>
    <w:tblStylePr w:type="firstRow">
      <w:rPr>
        <w:b/>
        <w:bCs/>
      </w:rPr>
      <w:tblPr/>
      <w:tcPr>
        <w:tcBorders>
          <w:top w:val="nil"/>
          <w:left w:val="nil"/>
          <w:bottom w:val="single" w:sz="24" w:space="0" w:color="03A9FA" w:themeColor="accent2"/>
          <w:right w:val="nil"/>
          <w:insideH w:val="nil"/>
          <w:insideV w:val="nil"/>
        </w:tcBorders>
        <w:shd w:val="clear" w:color="auto" w:fill="E0E0E0" w:themeFill="background1"/>
      </w:tcPr>
    </w:tblStylePr>
    <w:tblStylePr w:type="lastRow">
      <w:rPr>
        <w:b/>
        <w:bCs/>
        <w:color w:val="E0E0E0" w:themeColor="background1"/>
      </w:rPr>
      <w:tblPr/>
      <w:tcPr>
        <w:tcBorders>
          <w:top w:val="single" w:sz="6" w:space="0" w:color="E0E0E0" w:themeColor="background1"/>
        </w:tcBorders>
        <w:shd w:val="clear" w:color="auto" w:fill="026595" w:themeFill="accent2" w:themeFillShade="99"/>
      </w:tcPr>
    </w:tblStylePr>
    <w:tblStylePr w:type="firstCol">
      <w:rPr>
        <w:color w:val="E0E0E0" w:themeColor="background1"/>
      </w:rPr>
      <w:tblPr/>
      <w:tcPr>
        <w:tcBorders>
          <w:top w:val="nil"/>
          <w:left w:val="nil"/>
          <w:bottom w:val="nil"/>
          <w:right w:val="nil"/>
          <w:insideH w:val="single" w:sz="4" w:space="0" w:color="026595" w:themeColor="accent2" w:themeShade="99"/>
          <w:insideV w:val="nil"/>
        </w:tcBorders>
        <w:shd w:val="clear" w:color="auto" w:fill="026595" w:themeFill="accent2" w:themeFillShade="99"/>
      </w:tcPr>
    </w:tblStylePr>
    <w:tblStylePr w:type="lastCol">
      <w:rPr>
        <w:color w:val="E0E0E0" w:themeColor="background1"/>
      </w:rPr>
      <w:tblPr/>
      <w:tcPr>
        <w:tcBorders>
          <w:top w:val="nil"/>
          <w:left w:val="nil"/>
          <w:bottom w:val="nil"/>
          <w:right w:val="nil"/>
          <w:insideH w:val="nil"/>
          <w:insideV w:val="nil"/>
        </w:tcBorders>
        <w:shd w:val="clear" w:color="auto" w:fill="026595" w:themeFill="accent2" w:themeFillShade="99"/>
      </w:tcPr>
    </w:tblStylePr>
    <w:tblStylePr w:type="band1Vert">
      <w:tblPr/>
      <w:tcPr>
        <w:shd w:val="clear" w:color="auto" w:fill="99DCFD" w:themeFill="accent2" w:themeFillTint="66"/>
      </w:tcPr>
    </w:tblStylePr>
    <w:tblStylePr w:type="band1Horz">
      <w:tblPr/>
      <w:tcPr>
        <w:shd w:val="clear" w:color="auto" w:fill="80D4FD" w:themeFill="accent2" w:themeFillTint="7F"/>
      </w:tcPr>
    </w:tblStylePr>
    <w:tblStylePr w:type="neCell">
      <w:rPr>
        <w:color w:val="424242" w:themeColor="text1"/>
      </w:rPr>
    </w:tblStylePr>
    <w:tblStylePr w:type="nwCell">
      <w:rPr>
        <w:color w:val="424242" w:themeColor="text1"/>
      </w:rPr>
    </w:tblStylePr>
  </w:style>
  <w:style w:type="table" w:styleId="ColorfulGrid-Accent2">
    <w:name w:val="Colorful Grid Accent 2"/>
    <w:basedOn w:val="TableNormal"/>
    <w:uiPriority w:val="73"/>
    <w:rsid w:val="002A1171"/>
    <w:rPr>
      <w:color w:val="424242" w:themeColor="text1"/>
    </w:rPr>
    <w:tblPr>
      <w:tblStyleRowBandSize w:val="1"/>
      <w:tblStyleColBandSize w:val="1"/>
      <w:tblBorders>
        <w:insideH w:val="single" w:sz="4" w:space="0" w:color="E0E0E0" w:themeColor="background1"/>
      </w:tblBorders>
    </w:tblPr>
    <w:tcPr>
      <w:shd w:val="clear" w:color="auto" w:fill="CBEDFE" w:themeFill="accent2" w:themeFillTint="33"/>
    </w:tcPr>
    <w:tblStylePr w:type="firstRow">
      <w:rPr>
        <w:b/>
        <w:bCs/>
      </w:rPr>
      <w:tblPr/>
      <w:tcPr>
        <w:shd w:val="clear" w:color="auto" w:fill="99DCFD" w:themeFill="accent2" w:themeFillTint="66"/>
      </w:tcPr>
    </w:tblStylePr>
    <w:tblStylePr w:type="lastRow">
      <w:rPr>
        <w:b/>
        <w:bCs/>
        <w:color w:val="424242" w:themeColor="text1"/>
      </w:rPr>
      <w:tblPr/>
      <w:tcPr>
        <w:shd w:val="clear" w:color="auto" w:fill="99DCFD" w:themeFill="accent2" w:themeFillTint="66"/>
      </w:tcPr>
    </w:tblStylePr>
    <w:tblStylePr w:type="firstCol">
      <w:rPr>
        <w:color w:val="E0E0E0" w:themeColor="background1"/>
      </w:rPr>
      <w:tblPr/>
      <w:tcPr>
        <w:shd w:val="clear" w:color="auto" w:fill="027EBB" w:themeFill="accent2" w:themeFillShade="BF"/>
      </w:tcPr>
    </w:tblStylePr>
    <w:tblStylePr w:type="lastCol">
      <w:rPr>
        <w:color w:val="E0E0E0" w:themeColor="background1"/>
      </w:rPr>
      <w:tblPr/>
      <w:tcPr>
        <w:shd w:val="clear" w:color="auto" w:fill="027EBB" w:themeFill="accent2" w:themeFillShade="BF"/>
      </w:tcPr>
    </w:tblStylePr>
    <w:tblStylePr w:type="band1Vert">
      <w:tblPr/>
      <w:tcPr>
        <w:shd w:val="clear" w:color="auto" w:fill="80D4FD" w:themeFill="accent2" w:themeFillTint="7F"/>
      </w:tcPr>
    </w:tblStylePr>
    <w:tblStylePr w:type="band1Horz">
      <w:tblPr/>
      <w:tcPr>
        <w:shd w:val="clear" w:color="auto" w:fill="80D4FD" w:themeFill="accent2" w:themeFillTint="7F"/>
      </w:tcPr>
    </w:tblStylePr>
  </w:style>
  <w:style w:type="table" w:styleId="MediumList2-Accent2">
    <w:name w:val="Medium List 2 Accent 2"/>
    <w:basedOn w:val="TableNormal"/>
    <w:uiPriority w:val="66"/>
    <w:rsid w:val="002A1171"/>
    <w:rPr>
      <w:rFonts w:asciiTheme="majorHAnsi" w:eastAsiaTheme="majorEastAsia" w:hAnsiTheme="majorHAnsi" w:cstheme="majorBidi"/>
      <w:color w:val="424242" w:themeColor="text1"/>
    </w:rPr>
    <w:tblPr>
      <w:tblStyleRowBandSize w:val="1"/>
      <w:tblStyleColBandSize w:val="1"/>
      <w:tblBorders>
        <w:top w:val="single" w:sz="8" w:space="0" w:color="03A9FA" w:themeColor="accent2"/>
        <w:left w:val="single" w:sz="8" w:space="0" w:color="03A9FA" w:themeColor="accent2"/>
        <w:bottom w:val="single" w:sz="8" w:space="0" w:color="03A9FA" w:themeColor="accent2"/>
        <w:right w:val="single" w:sz="8" w:space="0" w:color="03A9FA" w:themeColor="accent2"/>
      </w:tblBorders>
    </w:tblPr>
    <w:tblStylePr w:type="firstRow">
      <w:rPr>
        <w:sz w:val="24"/>
        <w:szCs w:val="24"/>
      </w:rPr>
      <w:tblPr/>
      <w:tcPr>
        <w:tcBorders>
          <w:top w:val="nil"/>
          <w:left w:val="nil"/>
          <w:bottom w:val="single" w:sz="24" w:space="0" w:color="03A9FA" w:themeColor="accent2"/>
          <w:right w:val="nil"/>
          <w:insideH w:val="nil"/>
          <w:insideV w:val="nil"/>
        </w:tcBorders>
        <w:shd w:val="clear" w:color="auto" w:fill="E0E0E0" w:themeFill="background1"/>
      </w:tcPr>
    </w:tblStylePr>
    <w:tblStylePr w:type="lastRow">
      <w:tblPr/>
      <w:tcPr>
        <w:tcBorders>
          <w:top w:val="single" w:sz="8" w:space="0" w:color="03A9FA" w:themeColor="accent2"/>
          <w:left w:val="nil"/>
          <w:bottom w:val="nil"/>
          <w:right w:val="nil"/>
          <w:insideH w:val="nil"/>
          <w:insideV w:val="nil"/>
        </w:tcBorders>
        <w:shd w:val="clear" w:color="auto" w:fill="E0E0E0" w:themeFill="background1"/>
      </w:tcPr>
    </w:tblStylePr>
    <w:tblStylePr w:type="firstCol">
      <w:tblPr/>
      <w:tcPr>
        <w:tcBorders>
          <w:top w:val="nil"/>
          <w:left w:val="nil"/>
          <w:bottom w:val="nil"/>
          <w:right w:val="single" w:sz="8" w:space="0" w:color="03A9FA" w:themeColor="accent2"/>
          <w:insideH w:val="nil"/>
          <w:insideV w:val="nil"/>
        </w:tcBorders>
        <w:shd w:val="clear" w:color="auto" w:fill="E0E0E0" w:themeFill="background1"/>
      </w:tcPr>
    </w:tblStylePr>
    <w:tblStylePr w:type="lastCol">
      <w:tblPr/>
      <w:tcPr>
        <w:tcBorders>
          <w:top w:val="nil"/>
          <w:left w:val="single" w:sz="8" w:space="0" w:color="03A9FA" w:themeColor="accent2"/>
          <w:bottom w:val="nil"/>
          <w:right w:val="nil"/>
          <w:insideH w:val="nil"/>
          <w:insideV w:val="nil"/>
        </w:tcBorders>
        <w:shd w:val="clear" w:color="auto" w:fill="E0E0E0" w:themeFill="background1"/>
      </w:tcPr>
    </w:tblStylePr>
    <w:tblStylePr w:type="band1Vert">
      <w:tblPr/>
      <w:tcPr>
        <w:tcBorders>
          <w:left w:val="nil"/>
          <w:right w:val="nil"/>
          <w:insideH w:val="nil"/>
          <w:insideV w:val="nil"/>
        </w:tcBorders>
        <w:shd w:val="clear" w:color="auto" w:fill="C0E9FE" w:themeFill="accent2" w:themeFillTint="3F"/>
      </w:tcPr>
    </w:tblStylePr>
    <w:tblStylePr w:type="band1Horz">
      <w:tblPr/>
      <w:tcPr>
        <w:tcBorders>
          <w:top w:val="nil"/>
          <w:bottom w:val="nil"/>
          <w:insideH w:val="nil"/>
          <w:insideV w:val="nil"/>
        </w:tcBorders>
        <w:shd w:val="clear" w:color="auto" w:fill="C0E9FE" w:themeFill="accent2" w:themeFillTint="3F"/>
      </w:tcPr>
    </w:tblStylePr>
    <w:tblStylePr w:type="nwCell">
      <w:tblPr/>
      <w:tcPr>
        <w:shd w:val="clear" w:color="auto" w:fill="E0E0E0" w:themeFill="background1"/>
      </w:tcPr>
    </w:tblStylePr>
    <w:tblStylePr w:type="swCell">
      <w:tblPr/>
      <w:tcPr>
        <w:tcBorders>
          <w:top w:val="nil"/>
        </w:tcBorders>
      </w:tcPr>
    </w:tblStylePr>
  </w:style>
  <w:style w:type="table" w:styleId="LightList-Accent6">
    <w:name w:val="Light List Accent 6"/>
    <w:basedOn w:val="TableNormal"/>
    <w:uiPriority w:val="61"/>
    <w:rsid w:val="00F540B5"/>
    <w:tblPr>
      <w:tblStyleRowBandSize w:val="1"/>
      <w:tblStyleColBandSize w:val="1"/>
      <w:tblBorders>
        <w:top w:val="single" w:sz="8" w:space="0" w:color="EFEDE7" w:themeColor="accent6"/>
        <w:left w:val="single" w:sz="8" w:space="0" w:color="EFEDE7" w:themeColor="accent6"/>
        <w:bottom w:val="single" w:sz="8" w:space="0" w:color="EFEDE7" w:themeColor="accent6"/>
        <w:right w:val="single" w:sz="8" w:space="0" w:color="EFEDE7" w:themeColor="accent6"/>
      </w:tblBorders>
    </w:tblPr>
    <w:tblStylePr w:type="firstRow">
      <w:pPr>
        <w:spacing w:before="0" w:after="0" w:line="240" w:lineRule="auto"/>
      </w:pPr>
      <w:rPr>
        <w:b/>
        <w:bCs/>
        <w:color w:val="E0E0E0" w:themeColor="background1"/>
      </w:rPr>
      <w:tblPr/>
      <w:tcPr>
        <w:shd w:val="clear" w:color="auto" w:fill="EFEDE7" w:themeFill="accent6"/>
      </w:tcPr>
    </w:tblStylePr>
    <w:tblStylePr w:type="lastRow">
      <w:pPr>
        <w:spacing w:before="0" w:after="0" w:line="240" w:lineRule="auto"/>
      </w:pPr>
      <w:rPr>
        <w:b/>
        <w:bCs/>
      </w:rPr>
      <w:tblPr/>
      <w:tcPr>
        <w:tcBorders>
          <w:top w:val="double" w:sz="6" w:space="0" w:color="EFEDE7" w:themeColor="accent6"/>
          <w:left w:val="single" w:sz="8" w:space="0" w:color="EFEDE7" w:themeColor="accent6"/>
          <w:bottom w:val="single" w:sz="8" w:space="0" w:color="EFEDE7" w:themeColor="accent6"/>
          <w:right w:val="single" w:sz="8" w:space="0" w:color="EFEDE7" w:themeColor="accent6"/>
        </w:tcBorders>
      </w:tcPr>
    </w:tblStylePr>
    <w:tblStylePr w:type="firstCol">
      <w:rPr>
        <w:b/>
        <w:bCs/>
      </w:rPr>
    </w:tblStylePr>
    <w:tblStylePr w:type="lastCol">
      <w:rPr>
        <w:b/>
        <w:bCs/>
      </w:rPr>
    </w:tblStylePr>
    <w:tblStylePr w:type="band1Vert">
      <w:tblPr/>
      <w:tcPr>
        <w:tcBorders>
          <w:top w:val="single" w:sz="8" w:space="0" w:color="EFEDE7" w:themeColor="accent6"/>
          <w:left w:val="single" w:sz="8" w:space="0" w:color="EFEDE7" w:themeColor="accent6"/>
          <w:bottom w:val="single" w:sz="8" w:space="0" w:color="EFEDE7" w:themeColor="accent6"/>
          <w:right w:val="single" w:sz="8" w:space="0" w:color="EFEDE7" w:themeColor="accent6"/>
        </w:tcBorders>
      </w:tcPr>
    </w:tblStylePr>
    <w:tblStylePr w:type="band1Horz">
      <w:tblPr/>
      <w:tcPr>
        <w:tcBorders>
          <w:top w:val="single" w:sz="8" w:space="0" w:color="EFEDE7" w:themeColor="accent6"/>
          <w:left w:val="single" w:sz="8" w:space="0" w:color="EFEDE7" w:themeColor="accent6"/>
          <w:bottom w:val="single" w:sz="8" w:space="0" w:color="EFEDE7" w:themeColor="accent6"/>
          <w:right w:val="single" w:sz="8" w:space="0" w:color="EFEDE7" w:themeColor="accent6"/>
        </w:tcBorders>
      </w:tcPr>
    </w:tblStylePr>
  </w:style>
  <w:style w:type="table" w:styleId="MediumShading2-Accent2">
    <w:name w:val="Medium Shading 2 Accent 2"/>
    <w:basedOn w:val="TableNormal"/>
    <w:uiPriority w:val="64"/>
    <w:rsid w:val="000C005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0E0E0" w:themeColor="background1"/>
      </w:rPr>
      <w:tblPr/>
      <w:tcPr>
        <w:tcBorders>
          <w:top w:val="single" w:sz="18" w:space="0" w:color="auto"/>
          <w:left w:val="nil"/>
          <w:bottom w:val="single" w:sz="18" w:space="0" w:color="auto"/>
          <w:right w:val="nil"/>
          <w:insideH w:val="nil"/>
          <w:insideV w:val="nil"/>
        </w:tcBorders>
        <w:shd w:val="clear" w:color="auto" w:fill="03A9F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0E0E0" w:themeFill="background1"/>
      </w:tcPr>
    </w:tblStylePr>
    <w:tblStylePr w:type="firstCol">
      <w:rPr>
        <w:b/>
        <w:bCs/>
        <w:color w:val="E0E0E0" w:themeColor="background1"/>
      </w:rPr>
      <w:tblPr/>
      <w:tcPr>
        <w:tcBorders>
          <w:top w:val="nil"/>
          <w:left w:val="nil"/>
          <w:bottom w:val="single" w:sz="18" w:space="0" w:color="auto"/>
          <w:right w:val="nil"/>
          <w:insideH w:val="nil"/>
          <w:insideV w:val="nil"/>
        </w:tcBorders>
        <w:shd w:val="clear" w:color="auto" w:fill="03A9FA" w:themeFill="accent2"/>
      </w:tcPr>
    </w:tblStylePr>
    <w:tblStylePr w:type="lastCol">
      <w:rPr>
        <w:b/>
        <w:bCs/>
        <w:color w:val="E0E0E0" w:themeColor="background1"/>
      </w:rPr>
      <w:tblPr/>
      <w:tcPr>
        <w:tcBorders>
          <w:left w:val="nil"/>
          <w:right w:val="nil"/>
          <w:insideH w:val="nil"/>
          <w:insideV w:val="nil"/>
        </w:tcBorders>
        <w:shd w:val="clear" w:color="auto" w:fill="03A9FA" w:themeFill="accent2"/>
      </w:tcPr>
    </w:tblStylePr>
    <w:tblStylePr w:type="band1Vert">
      <w:tblPr/>
      <w:tcPr>
        <w:tcBorders>
          <w:left w:val="nil"/>
          <w:right w:val="nil"/>
          <w:insideH w:val="nil"/>
          <w:insideV w:val="nil"/>
        </w:tcBorders>
        <w:shd w:val="clear" w:color="auto" w:fill="BDBDBD" w:themeFill="background1" w:themeFillShade="D8"/>
      </w:tcPr>
    </w:tblStylePr>
    <w:tblStylePr w:type="band1Horz">
      <w:tblPr/>
      <w:tcPr>
        <w:shd w:val="clear" w:color="auto" w:fill="BDBDB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E0E0E0" w:themeColor="background1"/>
      </w:rPr>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uiPriority w:val="62"/>
    <w:rsid w:val="00CB6CE9"/>
    <w:tblPr>
      <w:tblStyleRowBandSize w:val="1"/>
      <w:tblStyleColBandSize w:val="1"/>
      <w:tblBorders>
        <w:top w:val="single" w:sz="8" w:space="0" w:color="FF5722" w:themeColor="accent3"/>
        <w:left w:val="single" w:sz="8" w:space="0" w:color="FF5722" w:themeColor="accent3"/>
        <w:bottom w:val="single" w:sz="8" w:space="0" w:color="FF5722" w:themeColor="accent3"/>
        <w:right w:val="single" w:sz="8" w:space="0" w:color="FF5722" w:themeColor="accent3"/>
        <w:insideH w:val="single" w:sz="8" w:space="0" w:color="FF5722" w:themeColor="accent3"/>
        <w:insideV w:val="single" w:sz="8" w:space="0" w:color="FF572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5722" w:themeColor="accent3"/>
          <w:left w:val="single" w:sz="8" w:space="0" w:color="FF5722" w:themeColor="accent3"/>
          <w:bottom w:val="single" w:sz="18" w:space="0" w:color="FF5722" w:themeColor="accent3"/>
          <w:right w:val="single" w:sz="8" w:space="0" w:color="FF5722" w:themeColor="accent3"/>
          <w:insideH w:val="nil"/>
          <w:insideV w:val="single" w:sz="8" w:space="0" w:color="FF572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5722" w:themeColor="accent3"/>
          <w:left w:val="single" w:sz="8" w:space="0" w:color="FF5722" w:themeColor="accent3"/>
          <w:bottom w:val="single" w:sz="8" w:space="0" w:color="FF5722" w:themeColor="accent3"/>
          <w:right w:val="single" w:sz="8" w:space="0" w:color="FF5722" w:themeColor="accent3"/>
          <w:insideH w:val="nil"/>
          <w:insideV w:val="single" w:sz="8" w:space="0" w:color="FF572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5722" w:themeColor="accent3"/>
          <w:left w:val="single" w:sz="8" w:space="0" w:color="FF5722" w:themeColor="accent3"/>
          <w:bottom w:val="single" w:sz="8" w:space="0" w:color="FF5722" w:themeColor="accent3"/>
          <w:right w:val="single" w:sz="8" w:space="0" w:color="FF5722" w:themeColor="accent3"/>
        </w:tcBorders>
      </w:tcPr>
    </w:tblStylePr>
    <w:tblStylePr w:type="band1Vert">
      <w:tblPr/>
      <w:tcPr>
        <w:tcBorders>
          <w:top w:val="single" w:sz="8" w:space="0" w:color="FF5722" w:themeColor="accent3"/>
          <w:left w:val="single" w:sz="8" w:space="0" w:color="FF5722" w:themeColor="accent3"/>
          <w:bottom w:val="single" w:sz="8" w:space="0" w:color="FF5722" w:themeColor="accent3"/>
          <w:right w:val="single" w:sz="8" w:space="0" w:color="FF5722" w:themeColor="accent3"/>
        </w:tcBorders>
        <w:shd w:val="clear" w:color="auto" w:fill="FFD5C8" w:themeFill="accent3" w:themeFillTint="3F"/>
      </w:tcPr>
    </w:tblStylePr>
    <w:tblStylePr w:type="band1Horz">
      <w:tblPr/>
      <w:tcPr>
        <w:tcBorders>
          <w:top w:val="single" w:sz="8" w:space="0" w:color="FF5722" w:themeColor="accent3"/>
          <w:left w:val="single" w:sz="8" w:space="0" w:color="FF5722" w:themeColor="accent3"/>
          <w:bottom w:val="single" w:sz="8" w:space="0" w:color="FF5722" w:themeColor="accent3"/>
          <w:right w:val="single" w:sz="8" w:space="0" w:color="FF5722" w:themeColor="accent3"/>
          <w:insideV w:val="single" w:sz="8" w:space="0" w:color="FF5722" w:themeColor="accent3"/>
        </w:tcBorders>
        <w:shd w:val="clear" w:color="auto" w:fill="FFD5C8" w:themeFill="accent3" w:themeFillTint="3F"/>
      </w:tcPr>
    </w:tblStylePr>
    <w:tblStylePr w:type="band2Horz">
      <w:tblPr/>
      <w:tcPr>
        <w:tcBorders>
          <w:top w:val="single" w:sz="8" w:space="0" w:color="FF5722" w:themeColor="accent3"/>
          <w:left w:val="single" w:sz="8" w:space="0" w:color="FF5722" w:themeColor="accent3"/>
          <w:bottom w:val="single" w:sz="8" w:space="0" w:color="FF5722" w:themeColor="accent3"/>
          <w:right w:val="single" w:sz="8" w:space="0" w:color="FF5722" w:themeColor="accent3"/>
          <w:insideV w:val="single" w:sz="8" w:space="0" w:color="FF5722" w:themeColor="accent3"/>
        </w:tcBorders>
      </w:tcPr>
    </w:tblStylePr>
  </w:style>
  <w:style w:type="paragraph" w:customStyle="1" w:styleId="Chart-body">
    <w:name w:val="Chart - body"/>
    <w:basedOn w:val="Normal"/>
    <w:autoRedefine/>
    <w:qFormat/>
    <w:rsid w:val="00701621"/>
    <w:pPr>
      <w:spacing w:after="120"/>
    </w:pPr>
    <w:rPr>
      <w:rFonts w:asciiTheme="majorHAnsi" w:hAnsiTheme="majorHAnsi" w:cstheme="majorHAnsi"/>
      <w:szCs w:val="21"/>
    </w:rPr>
  </w:style>
  <w:style w:type="table" w:styleId="LightList-Accent2">
    <w:name w:val="Light List Accent 2"/>
    <w:basedOn w:val="TableNormal"/>
    <w:uiPriority w:val="61"/>
    <w:rsid w:val="008616D5"/>
    <w:tblPr>
      <w:tblStyleRowBandSize w:val="1"/>
      <w:tblStyleColBandSize w:val="1"/>
      <w:tblBorders>
        <w:top w:val="single" w:sz="8" w:space="0" w:color="03A9FA" w:themeColor="accent2"/>
        <w:left w:val="single" w:sz="8" w:space="0" w:color="03A9FA" w:themeColor="accent2"/>
        <w:bottom w:val="single" w:sz="8" w:space="0" w:color="03A9FA" w:themeColor="accent2"/>
        <w:right w:val="single" w:sz="8" w:space="0" w:color="03A9FA" w:themeColor="accent2"/>
      </w:tblBorders>
    </w:tblPr>
    <w:tblStylePr w:type="firstRow">
      <w:pPr>
        <w:spacing w:before="0" w:after="0" w:line="240" w:lineRule="auto"/>
      </w:pPr>
      <w:rPr>
        <w:b/>
        <w:bCs/>
        <w:color w:val="E0E0E0" w:themeColor="background1"/>
      </w:rPr>
      <w:tblPr/>
      <w:tcPr>
        <w:shd w:val="clear" w:color="auto" w:fill="03A9FA" w:themeFill="accent2"/>
      </w:tcPr>
    </w:tblStylePr>
    <w:tblStylePr w:type="lastRow">
      <w:pPr>
        <w:spacing w:before="0" w:after="0" w:line="240" w:lineRule="auto"/>
      </w:pPr>
      <w:rPr>
        <w:b/>
        <w:bCs/>
      </w:rPr>
      <w:tblPr/>
      <w:tcPr>
        <w:tcBorders>
          <w:top w:val="double" w:sz="6" w:space="0" w:color="03A9FA" w:themeColor="accent2"/>
          <w:left w:val="single" w:sz="8" w:space="0" w:color="03A9FA" w:themeColor="accent2"/>
          <w:bottom w:val="single" w:sz="8" w:space="0" w:color="03A9FA" w:themeColor="accent2"/>
          <w:right w:val="single" w:sz="8" w:space="0" w:color="03A9FA" w:themeColor="accent2"/>
        </w:tcBorders>
      </w:tcPr>
    </w:tblStylePr>
    <w:tblStylePr w:type="firstCol">
      <w:rPr>
        <w:b/>
        <w:bCs/>
      </w:rPr>
    </w:tblStylePr>
    <w:tblStylePr w:type="lastCol">
      <w:rPr>
        <w:b/>
        <w:bCs/>
      </w:rPr>
    </w:tblStylePr>
    <w:tblStylePr w:type="band1Vert">
      <w:tblPr/>
      <w:tcPr>
        <w:tcBorders>
          <w:top w:val="single" w:sz="8" w:space="0" w:color="03A9FA" w:themeColor="accent2"/>
          <w:left w:val="single" w:sz="8" w:space="0" w:color="03A9FA" w:themeColor="accent2"/>
          <w:bottom w:val="single" w:sz="8" w:space="0" w:color="03A9FA" w:themeColor="accent2"/>
          <w:right w:val="single" w:sz="8" w:space="0" w:color="03A9FA" w:themeColor="accent2"/>
        </w:tcBorders>
      </w:tcPr>
    </w:tblStylePr>
    <w:tblStylePr w:type="band1Horz">
      <w:tblPr/>
      <w:tcPr>
        <w:tcBorders>
          <w:top w:val="single" w:sz="8" w:space="0" w:color="03A9FA" w:themeColor="accent2"/>
          <w:left w:val="single" w:sz="8" w:space="0" w:color="03A9FA" w:themeColor="accent2"/>
          <w:bottom w:val="single" w:sz="8" w:space="0" w:color="03A9FA" w:themeColor="accent2"/>
          <w:right w:val="single" w:sz="8" w:space="0" w:color="03A9FA" w:themeColor="accent2"/>
        </w:tcBorders>
      </w:tcPr>
    </w:tblStylePr>
  </w:style>
  <w:style w:type="table" w:customStyle="1" w:styleId="TableOACAS">
    <w:name w:val="Table OACAS"/>
    <w:basedOn w:val="TableNormal"/>
    <w:uiPriority w:val="99"/>
    <w:rsid w:val="003E4B46"/>
    <w:pPr>
      <w:spacing w:after="120"/>
    </w:pPr>
    <w:rPr>
      <w:rFonts w:asciiTheme="majorHAnsi" w:hAnsiTheme="majorHAnsi"/>
      <w:sz w:val="22"/>
    </w:rPr>
    <w:tblPr>
      <w:tblBorders>
        <w:top w:val="single" w:sz="8" w:space="0" w:color="009688" w:themeColor="accent4"/>
        <w:left w:val="single" w:sz="8" w:space="0" w:color="009688" w:themeColor="accent4"/>
        <w:bottom w:val="single" w:sz="8" w:space="0" w:color="009688" w:themeColor="accent4"/>
        <w:right w:val="single" w:sz="8" w:space="0" w:color="009688" w:themeColor="accent4"/>
        <w:insideH w:val="single" w:sz="8" w:space="0" w:color="009688" w:themeColor="accent4"/>
        <w:insideV w:val="single" w:sz="8" w:space="0" w:color="009688" w:themeColor="accent4"/>
      </w:tblBorders>
    </w:tblPr>
    <w:trPr>
      <w:cantSplit/>
    </w:trPr>
    <w:tcPr>
      <w:shd w:val="clear" w:color="auto" w:fill="auto"/>
    </w:tcPr>
    <w:tblStylePr w:type="firstRow">
      <w:rPr>
        <w:rFonts w:asciiTheme="majorHAnsi" w:hAnsiTheme="majorHAnsi"/>
        <w:b/>
        <w:sz w:val="22"/>
      </w:rPr>
      <w:tblPr/>
      <w:tcPr>
        <w:shd w:val="clear" w:color="auto" w:fill="009688" w:themeFill="accent4"/>
      </w:tcPr>
    </w:tblStylePr>
  </w:style>
  <w:style w:type="paragraph" w:styleId="DocumentMap">
    <w:name w:val="Document Map"/>
    <w:basedOn w:val="Normal"/>
    <w:link w:val="DocumentMapChar"/>
    <w:uiPriority w:val="99"/>
    <w:semiHidden/>
    <w:unhideWhenUsed/>
    <w:rsid w:val="003A07DC"/>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A07DC"/>
    <w:rPr>
      <w:rFonts w:ascii="Lucida Grande" w:hAnsi="Lucida Grande" w:cs="Lucida Grande"/>
    </w:rPr>
  </w:style>
  <w:style w:type="paragraph" w:styleId="Revision">
    <w:name w:val="Revision"/>
    <w:hidden/>
    <w:uiPriority w:val="99"/>
    <w:semiHidden/>
    <w:rsid w:val="003A07DC"/>
    <w:rPr>
      <w:sz w:val="21"/>
    </w:rPr>
  </w:style>
  <w:style w:type="character" w:styleId="Hyperlink">
    <w:name w:val="Hyperlink"/>
    <w:basedOn w:val="DefaultParagraphFont"/>
    <w:uiPriority w:val="99"/>
    <w:unhideWhenUsed/>
    <w:rsid w:val="007911FD"/>
    <w:rPr>
      <w:color w:val="4CB050" w:themeColor="accent1"/>
      <w:u w:val="single"/>
    </w:rPr>
  </w:style>
  <w:style w:type="character" w:customStyle="1" w:styleId="Heading4Char">
    <w:name w:val="Heading 4 Char"/>
    <w:basedOn w:val="DefaultParagraphFont"/>
    <w:link w:val="Heading4"/>
    <w:uiPriority w:val="9"/>
    <w:rsid w:val="00F74215"/>
    <w:rPr>
      <w:rFonts w:asciiTheme="majorHAnsi" w:eastAsiaTheme="majorEastAsia" w:hAnsiTheme="majorHAnsi" w:cstheme="majorBidi"/>
      <w:b/>
      <w:bCs/>
      <w:i/>
      <w:iCs/>
      <w:color w:val="4CB050" w:themeColor="accent1"/>
      <w:sz w:val="21"/>
    </w:rPr>
  </w:style>
  <w:style w:type="character" w:styleId="FollowedHyperlink">
    <w:name w:val="FollowedHyperlink"/>
    <w:basedOn w:val="DefaultParagraphFont"/>
    <w:uiPriority w:val="99"/>
    <w:semiHidden/>
    <w:unhideWhenUsed/>
    <w:rsid w:val="007F2524"/>
    <w:rPr>
      <w:color w:val="9E9E9E" w:themeColor="followedHyperlink"/>
      <w:u w:val="single"/>
    </w:rPr>
  </w:style>
  <w:style w:type="paragraph" w:styleId="Subtitle">
    <w:name w:val="Subtitle"/>
    <w:basedOn w:val="Normal"/>
    <w:next w:val="Normal"/>
    <w:link w:val="SubtitleChar"/>
    <w:uiPriority w:val="11"/>
    <w:qFormat/>
    <w:rsid w:val="00BE3F0E"/>
    <w:pPr>
      <w:numPr>
        <w:ilvl w:val="1"/>
      </w:numPr>
    </w:pPr>
    <w:rPr>
      <w:rFonts w:asciiTheme="majorHAnsi" w:eastAsiaTheme="majorEastAsia" w:hAnsiTheme="majorHAnsi" w:cstheme="majorBidi"/>
      <w:i/>
      <w:iCs/>
      <w:color w:val="4CB050" w:themeColor="accent1"/>
      <w:sz w:val="24"/>
      <w:szCs w:val="24"/>
    </w:rPr>
  </w:style>
  <w:style w:type="character" w:customStyle="1" w:styleId="SubtitleChar">
    <w:name w:val="Subtitle Char"/>
    <w:basedOn w:val="DefaultParagraphFont"/>
    <w:link w:val="Subtitle"/>
    <w:uiPriority w:val="11"/>
    <w:rsid w:val="00BE3F0E"/>
    <w:rPr>
      <w:rFonts w:asciiTheme="majorHAnsi" w:eastAsiaTheme="majorEastAsia" w:hAnsiTheme="majorHAnsi" w:cstheme="majorBidi"/>
      <w:i/>
      <w:iCs/>
      <w:color w:val="4CB050" w:themeColor="accent1"/>
    </w:rPr>
  </w:style>
  <w:style w:type="character" w:styleId="SubtleReference">
    <w:name w:val="Subtle Reference"/>
    <w:basedOn w:val="DefaultParagraphFont"/>
    <w:uiPriority w:val="31"/>
    <w:qFormat/>
    <w:rsid w:val="007911FD"/>
    <w:rPr>
      <w:smallCaps/>
      <w:color w:val="4CB050" w:themeColor="accent1"/>
      <w:u w:val="single"/>
    </w:rPr>
  </w:style>
  <w:style w:type="character" w:styleId="IntenseReference">
    <w:name w:val="Intense Reference"/>
    <w:basedOn w:val="DefaultParagraphFont"/>
    <w:uiPriority w:val="32"/>
    <w:qFormat/>
    <w:rsid w:val="007911FD"/>
    <w:rPr>
      <w:b/>
      <w:bCs/>
      <w:smallCaps/>
      <w:color w:val="4CB050" w:themeColor="accent1"/>
      <w:spacing w:val="5"/>
      <w:u w:val="single"/>
    </w:rPr>
  </w:style>
  <w:style w:type="paragraph" w:customStyle="1" w:styleId="Envelope-RecipientName">
    <w:name w:val="Envelope - Recipient Name"/>
    <w:basedOn w:val="Envelope-Address"/>
    <w:qFormat/>
    <w:rsid w:val="002C6B96"/>
    <w:pPr>
      <w:spacing w:before="1200"/>
      <w:contextualSpacing/>
    </w:pPr>
  </w:style>
  <w:style w:type="paragraph" w:customStyle="1" w:styleId="Envelope-Address">
    <w:name w:val="Envelope - Address"/>
    <w:basedOn w:val="EnvelopeAddress"/>
    <w:qFormat/>
    <w:rsid w:val="002C6B96"/>
    <w:pPr>
      <w:framePr w:w="0" w:hRule="auto" w:hSpace="0" w:wrap="auto" w:hAnchor="text" w:xAlign="left" w:yAlign="inline"/>
      <w:spacing w:line="264" w:lineRule="auto"/>
      <w:ind w:left="5400"/>
    </w:pPr>
    <w:rPr>
      <w:color w:val="212121" w:themeColor="text1" w:themeShade="80"/>
      <w:sz w:val="20"/>
    </w:rPr>
  </w:style>
  <w:style w:type="paragraph" w:styleId="EnvelopeAddress">
    <w:name w:val="envelope address"/>
    <w:basedOn w:val="Normal"/>
    <w:uiPriority w:val="99"/>
    <w:semiHidden/>
    <w:unhideWhenUsed/>
    <w:rsid w:val="002C6B9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customStyle="1" w:styleId="Labels-Address">
    <w:name w:val="Labels - Address"/>
    <w:basedOn w:val="Envelope-Address"/>
    <w:qFormat/>
    <w:rsid w:val="002C6B96"/>
    <w:pPr>
      <w:ind w:left="0"/>
    </w:pPr>
  </w:style>
  <w:style w:type="paragraph" w:customStyle="1" w:styleId="Letterhead-address">
    <w:name w:val="Letterhead - address"/>
    <w:basedOn w:val="Normal"/>
    <w:qFormat/>
    <w:rsid w:val="00187B01"/>
    <w:pPr>
      <w:spacing w:line="360" w:lineRule="auto"/>
    </w:pPr>
    <w:rPr>
      <w:color w:val="707070" w:themeColor="background1" w:themeShade="80"/>
      <w:sz w:val="16"/>
      <w:szCs w:val="16"/>
    </w:rPr>
  </w:style>
  <w:style w:type="paragraph" w:customStyle="1" w:styleId="Title-PracticeNotes">
    <w:name w:val="Title - Practice Notes"/>
    <w:basedOn w:val="Normal"/>
    <w:autoRedefine/>
    <w:qFormat/>
    <w:rsid w:val="00354EA7"/>
    <w:pPr>
      <w:pBdr>
        <w:bottom w:val="single" w:sz="6" w:space="30" w:color="404040"/>
      </w:pBdr>
      <w:spacing w:before="200" w:after="0" w:line="288" w:lineRule="auto"/>
    </w:pPr>
    <w:rPr>
      <w:rFonts w:asciiTheme="majorHAnsi" w:eastAsiaTheme="majorEastAsia" w:hAnsiTheme="majorHAnsi" w:cstheme="majorBidi"/>
      <w:noProof/>
      <w:color w:val="00B0F0"/>
      <w:kern w:val="28"/>
      <w:sz w:val="36"/>
      <w:szCs w:val="40"/>
    </w:rPr>
  </w:style>
  <w:style w:type="character" w:styleId="CommentReference">
    <w:name w:val="annotation reference"/>
    <w:basedOn w:val="DefaultParagraphFont"/>
    <w:uiPriority w:val="99"/>
    <w:semiHidden/>
    <w:unhideWhenUsed/>
    <w:rsid w:val="002E5759"/>
    <w:rPr>
      <w:sz w:val="16"/>
      <w:szCs w:val="16"/>
    </w:rPr>
  </w:style>
  <w:style w:type="paragraph" w:styleId="CommentText">
    <w:name w:val="annotation text"/>
    <w:basedOn w:val="Normal"/>
    <w:link w:val="CommentTextChar"/>
    <w:uiPriority w:val="99"/>
    <w:semiHidden/>
    <w:unhideWhenUsed/>
    <w:rsid w:val="002E5759"/>
    <w:pPr>
      <w:spacing w:line="240" w:lineRule="auto"/>
    </w:pPr>
  </w:style>
  <w:style w:type="character" w:customStyle="1" w:styleId="CommentTextChar">
    <w:name w:val="Comment Text Char"/>
    <w:basedOn w:val="DefaultParagraphFont"/>
    <w:link w:val="CommentText"/>
    <w:uiPriority w:val="99"/>
    <w:semiHidden/>
    <w:rsid w:val="002E5759"/>
    <w:rPr>
      <w:sz w:val="20"/>
      <w:szCs w:val="20"/>
    </w:rPr>
  </w:style>
  <w:style w:type="paragraph" w:styleId="CommentSubject">
    <w:name w:val="annotation subject"/>
    <w:basedOn w:val="CommentText"/>
    <w:next w:val="CommentText"/>
    <w:link w:val="CommentSubjectChar"/>
    <w:uiPriority w:val="99"/>
    <w:semiHidden/>
    <w:unhideWhenUsed/>
    <w:rsid w:val="002E5759"/>
    <w:rPr>
      <w:b/>
      <w:bCs/>
    </w:rPr>
  </w:style>
  <w:style w:type="character" w:customStyle="1" w:styleId="CommentSubjectChar">
    <w:name w:val="Comment Subject Char"/>
    <w:basedOn w:val="CommentTextChar"/>
    <w:link w:val="CommentSubject"/>
    <w:uiPriority w:val="99"/>
    <w:semiHidden/>
    <w:rsid w:val="002E5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swaterloo.org/aboutus/child-welfare-data-and-resul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ACAS_WOR">
  <a:themeElements>
    <a:clrScheme name="OACAS PPT">
      <a:dk1>
        <a:srgbClr val="424242"/>
      </a:dk1>
      <a:lt1>
        <a:srgbClr val="E0E0E0"/>
      </a:lt1>
      <a:dk2>
        <a:srgbClr val="9E9E9E"/>
      </a:dk2>
      <a:lt2>
        <a:srgbClr val="FFFFFF"/>
      </a:lt2>
      <a:accent1>
        <a:srgbClr val="4CB050"/>
      </a:accent1>
      <a:accent2>
        <a:srgbClr val="03A9FA"/>
      </a:accent2>
      <a:accent3>
        <a:srgbClr val="FF5722"/>
      </a:accent3>
      <a:accent4>
        <a:srgbClr val="009688"/>
      </a:accent4>
      <a:accent5>
        <a:srgbClr val="FFB300"/>
      </a:accent5>
      <a:accent6>
        <a:srgbClr val="EFEDE7"/>
      </a:accent6>
      <a:hlink>
        <a:srgbClr val="4CAF50"/>
      </a:hlink>
      <a:folHlink>
        <a:srgbClr val="9E9E9E"/>
      </a:folHlink>
    </a:clrScheme>
    <a:fontScheme name="OACAS">
      <a:majorFont>
        <a:latin typeface="Verdan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Verdan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236E9DCF09E44A50C14B25D0E7006" ma:contentTypeVersion="0" ma:contentTypeDescription="Create a new document." ma:contentTypeScope="" ma:versionID="b1ae809d7c0248be3d7faa8077aaf9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00BBA-B7A7-4040-A3E9-B0F0B1DF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F31120-15CE-4AEB-B9F2-50E66EC26781}">
  <ds:schemaRefs>
    <ds:schemaRef ds:uri="http://schemas.microsoft.com/sharepoint/v3/contenttype/forms"/>
  </ds:schemaRefs>
</ds:datastoreItem>
</file>

<file path=customXml/itemProps3.xml><?xml version="1.0" encoding="utf-8"?>
<ds:datastoreItem xmlns:ds="http://schemas.openxmlformats.org/officeDocument/2006/customXml" ds:itemID="{D452038F-60AD-4634-984D-F48A8507C79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9A804DC4-9143-4619-AFC0-48FC62D7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2558</Words>
  <Characters>14583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CASHN</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Koo</dc:creator>
  <cp:lastModifiedBy>Tina Metcalfe</cp:lastModifiedBy>
  <cp:revision>2</cp:revision>
  <cp:lastPrinted>2016-03-29T17:56:00Z</cp:lastPrinted>
  <dcterms:created xsi:type="dcterms:W3CDTF">2016-09-30T13:45:00Z</dcterms:created>
  <dcterms:modified xsi:type="dcterms:W3CDTF">2016-09-30T13:45:00Z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0x0101000CF236E9DCF09E44A50C14B25D0E7006</vt:lpwstr>
  </property>
</Properties>
</file>